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3.jpg" ContentType="image/jpeg"/>
  <Override PartName="/word/media/rId64.jpg" ContentType="image/jpeg"/>
  <Override PartName="/word/media/rId67.jpg" ContentType="image/jpeg"/>
  <Override PartName="/word/media/rId68.jpg" ContentType="image/jpeg"/>
  <Override PartName="/word/media/rId66.jpg" ContentType="image/jpeg"/>
  <Override PartName="/word/media/rId65.jpg" ContentType="image/jpeg"/>
  <Override PartName="/word/media/rId72.jpg" ContentType="image/jpeg"/>
  <Override PartName="/word/media/rId69.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Mark</w:t>
      </w:r>
      <w:r>
        <w:t xml:space="preserve"> </w:t>
      </w:r>
      <w:r>
        <w:t xml:space="preserve">Rains</w:t>
      </w:r>
      <w:r>
        <w:t xml:space="preserve"> </w:t>
      </w:r>
      <w:r>
        <w:t xml:space="preserve">(</w:t>
      </w:r>
      <w:hyperlink r:id="rId34">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5">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6">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7">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8">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9">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40">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1">
        <w:r>
          <w:rPr>
            <w:rStyle w:val="Hyperlink"/>
          </w:rPr>
          <w:t xml:space="preserve">jwhalen@tbep.org</w:t>
        </w:r>
      </w:hyperlink>
      <w:r>
        <w:t xml:space="preserve">)</w:t>
      </w:r>
    </w:p>
    <w:p>
      <w:pPr>
        <w:pStyle w:val="FirstParagraph"/>
      </w:pPr>
      <w:r>
        <w:t xml:space="preserve">Last manuscript build 2021-10-25 11:57:39</w:t>
      </w:r>
    </w:p>
    <w:bookmarkStart w:id="42" w:name="abstract"/>
    <w:p>
      <w:pPr>
        <w:pStyle w:val="Heading1"/>
      </w:pPr>
      <w:r>
        <w:t xml:space="preserve">Abstract</w:t>
      </w:r>
    </w:p>
    <w:p>
      <w:pPr>
        <w:pStyle w:val="FirstParagraph"/>
      </w:pPr>
      <w:r>
        <w:t xml:space="preserve">From March 30th to April 9th, 2021, 814 million liters of legacy phosphate mining wastewater from the Piney Point facility were released into Tampa Bay (Florida, USA). An estimated 186 metric tons of total nitrogen were exported to Lower Tampa Bay, exceeding typical annual external nitrogen load estimates in a matter of days. An immediate phytoplankton response (non-harmful diatom) was observed in samples closest to the discharge site, with chlorophyll concentrations exceeding 50 ug/L. Cyanobacteria blooms (</w:t>
      </w:r>
      <w:r>
        <w:rPr>
          <w:iCs/>
          <w:i/>
        </w:rPr>
        <w:t xml:space="preserve">Dapis</w:t>
      </w:r>
      <w:r>
        <w:t xml:space="preserve"> </w:t>
      </w:r>
      <w:r>
        <w:t xml:space="preserve">spp.) were observed beginning in May, with biomass peaking in June at 48% frequency occurrence for some locations. Blooms of</w:t>
      </w:r>
      <w:r>
        <w:t xml:space="preserve"> </w:t>
      </w:r>
      <w:r>
        <w:rPr>
          <w:iCs/>
          <w:i/>
        </w:rPr>
        <w:t xml:space="preserve">Karenia brevis</w:t>
      </w:r>
      <w:r>
        <w:t xml:space="preserve"> </w:t>
      </w:r>
      <w:r>
        <w:t xml:space="preserve">were first observed in May and continued through July within Tampa Bay proper. Reported fish kills tracked bloom concentrations, prompting local cleanup efforts to remove over 1600 metric tons of dead fish. Combined, these observations indicate abnormal conditions in Tampa Bay following release of wastewater from Piney Point, which is supported by comparison to the decades of baseline environmental monitoring data for the region and typical seasonal conditions experienced in recent years.</w:t>
      </w:r>
    </w:p>
    <w:p>
      <w:pPr>
        <w:pStyle w:val="BodyText"/>
      </w:pPr>
      <w:r>
        <w:rPr>
          <w:iCs/>
          <w:i/>
        </w:rPr>
        <w:t xml:space="preserve">Key words</w:t>
      </w:r>
      <w:r>
        <w:t xml:space="preserve">: algae, nitrogen, phosphate mining, seagrass, Tampa Bay, wastewater, water quality</w:t>
      </w:r>
    </w:p>
    <w:bookmarkEnd w:id="42"/>
    <w:bookmarkStart w:id="45" w:name="introduction"/>
    <w:p>
      <w:pPr>
        <w:pStyle w:val="Heading1"/>
      </w:pPr>
      <w:r>
        <w:t xml:space="preserve">Introduction</w:t>
      </w:r>
    </w:p>
    <w:p>
      <w:pPr>
        <w:pStyle w:val="FirstParagraph"/>
      </w:pPr>
      <w:r>
        <w:t xml:space="preserve">Ecosystem management paradigms for estuaries of the Gulf Coast of Florida, USA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w:t>
      </w:r>
    </w:p>
    <w:p>
      <w:pPr>
        <w:pStyle w:val="BodyText"/>
      </w:pPr>
      <w:r>
        <w:t xml:space="preserve">Ongoing threats and challenges to protecting water quality of Gulf Coast estuaries persist despite recent environmental recovery. Because point-source inputs of nutrient loads from wastewater treatment plants and industrial sources into Tampa Bay have been greatly reduced, non-point source loads from wastewater sources and stormwater runoff are now estimated to dominate external nutrient loads to the bay, particularly during the rainy season from June to September</w:t>
      </w:r>
      <w:r>
        <w:t xml:space="preserve"> </w:t>
      </w:r>
      <w:r>
        <w:t xml:space="preserve">(</w:t>
      </w:r>
      <w:hyperlink w:anchor="ref-Janicki17">
        <w:r>
          <w:rPr>
            <w:rStyle w:val="Hyperlink"/>
          </w:rPr>
          <w:t xml:space="preserve">Janicki Environmental, Inc., 2017a</w:t>
        </w:r>
      </w:hyperlink>
      <w:r>
        <w:t xml:space="preserve">,</w:t>
      </w:r>
      <w:r>
        <w:t xml:space="preserve"> </w:t>
      </w:r>
      <w:hyperlink w:anchor="ref-Janicki08">
        <w:r>
          <w:rPr>
            <w:rStyle w:val="Hyperlink"/>
          </w:rPr>
          <w:t xml:space="preserve">2008</w:t>
        </w:r>
      </w:hyperlink>
      <w:r>
        <w:t xml:space="preserve">)</w:t>
      </w:r>
      <w:r>
        <w:t xml:space="preserve">. Atmospheric deposition of nutrients from fossil fuel-based power production and automobile traffic further contribute about one-quarter of the total nitrogen inputs directly to the bay’s surface</w:t>
      </w:r>
      <w:r>
        <w:t xml:space="preserve"> </w:t>
      </w:r>
      <w:r>
        <w:t xml:space="preserve">(</w:t>
      </w:r>
      <w:hyperlink w:anchor="ref-Poor13">
        <w:r>
          <w:rPr>
            <w:rStyle w:val="Hyperlink"/>
          </w:rPr>
          <w:t xml:space="preserve">Poor et al., 2013</w:t>
        </w:r>
      </w:hyperlink>
      <w:r>
        <w:t xml:space="preserve">)</w:t>
      </w:r>
      <w:r>
        <w:t xml:space="preserve">. Climate change stressors, such as sea level rise, changing rainfall patterns, and temperature alterations, may further perturb ecosystem dynamics and assimilative capacity by reducing system resilience to nutrient inputs</w:t>
      </w:r>
      <w:r>
        <w:t xml:space="preserve"> </w:t>
      </w:r>
      <w:r>
        <w:t xml:space="preserve">(</w:t>
      </w:r>
      <w:hyperlink w:anchor="ref-Burke17">
        <w:r>
          <w:rPr>
            <w:rStyle w:val="Hyperlink"/>
          </w:rPr>
          <w:t xml:space="preserve">Burke, 2017</w:t>
        </w:r>
      </w:hyperlink>
      <w:r>
        <w:t xml:space="preserve">;</w:t>
      </w:r>
      <w:r>
        <w:t xml:space="preserve"> </w:t>
      </w:r>
      <w:hyperlink w:anchor="ref-Sherwood14">
        <w:r>
          <w:rPr>
            <w:rStyle w:val="Hyperlink"/>
          </w:rPr>
          <w:t xml:space="preserve">Sherwood and Greening, 2014</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Impurities,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b">
        <w:r>
          <w:rPr>
            <w:rStyle w:val="Hyperlink"/>
          </w:rPr>
          <w:t xml:space="preserve">Beck et al., 2018a</w:t>
        </w:r>
      </w:hyperlink>
      <w:r>
        <w:t xml:space="preserve">)</w:t>
      </w:r>
      <w:r>
        <w:t xml:space="preserv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43">
        <w:r>
          <w:rPr>
            <w:rStyle w:val="Hyperlink"/>
          </w:rPr>
          <w:t xml:space="preserve">Florida Department of Environmental Protection</w:t>
        </w:r>
      </w:hyperlink>
      <w:r>
        <w:t xml:space="preserve">) exist in the Tampa Bay watershed with no comprehensive, long-term plan for closure or disposal of waste. The Piney Point facility located in Palmetto, Florida is a large, remnant phosphogypsum stack with three holding ponds located 3 kilometers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HRK Holdings, LLC (hereafter HRK), with oversight by the Florida Departmental of Environmental Protection (FDEP). Decreasing holding capacity of the ponds from seasonal rain events, tropical storms, and storage of dredging material from nearby Port Manatee have contributed to degradation of the facility. Discharges of wastewater from the stacks occurred in the early 2000s and 2011 to nearby Bishop Harbor connected to Tampa Bay. Those discharges resulted in spatially-restricted, ecosystem responses</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HRK suspected leakages from a tear in the plastic liner of the southern holding pond (NGS-S) when water quality samples with a similar conductivity as the wastewater were detected at onsite seepage interceptor drains. In response, FDEP authorized an</w:t>
      </w:r>
      <w:r>
        <w:t xml:space="preserve"> </w:t>
      </w:r>
      <w:hyperlink r:id="rId44">
        <w:r>
          <w:rPr>
            <w:rStyle w:val="Hyperlink"/>
          </w:rPr>
          <w:t xml:space="preserve">emergency order</w:t>
        </w:r>
      </w:hyperlink>
      <w:r>
        <w:t xml:space="preserve"> </w:t>
      </w:r>
      <w:r>
        <w:t xml:space="preserve">on March 30th, 2021 to release wastewater from the southern gypstack directly into lower Tampa Bay to prevent catastrophic failure of the berms supporting the holding ponds. At that time, approximately 1.8 billion liters of mix legacy phosphate mining wastewater and seawater from port dedging operations was being held in the failing gypstack. Water quality parameters of NGS-S measured in 2019 were well above baseline conditions typical of surface waters in Tampa Bay (Table</w:t>
      </w:r>
      <w:r>
        <w:t xml:space="preserve"> </w:t>
      </w:r>
      <w:r>
        <w:t xml:space="preserve">1</w:t>
      </w:r>
      <w:r>
        <w:t xml:space="preserve">), particularly for total phosphorus (160 mg/L) and total nitrogen (230 mg/L). Due to public safety and property concerns over catastrophic failure of the holding walls, an</w:t>
      </w:r>
      <w:r>
        <w:t xml:space="preserve"> </w:t>
      </w:r>
      <w:hyperlink r:id="rId44">
        <w:r>
          <w:rPr>
            <w:rStyle w:val="Hyperlink"/>
          </w:rPr>
          <w:t xml:space="preserve">emergency order</w:t>
        </w:r>
      </w:hyperlink>
      <w:r>
        <w:t xml:space="preserve"> </w:t>
      </w:r>
      <w:r>
        <w:t xml:space="preserve">was issued by FDEP on March 29th for HRK to begin release of wastewater from the stack into Tampa Bay to reduce physical strain on the stacks. Unlike past discharges from the site, HRK was authorized to release untreated wastewater through siphon lines established during dredging operations in 2011 and that discharged through Berth 12 at Port Manatee. This was done under the assumption that backwater habitats (e.g., Bishop Harbor) may be spared the impacts of additional effluent discharges from the site, as was observed in prior events. From March 30th to April 9th, approximately 814 million liters (215 million gallons) of wastewater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2017b</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A timeline of events in 2021 is provided, which is supported by the quantitative results from 2021 response-based monitoring of conditions in and around Port Manatee, FL – the focal point of emergency discharges from the Piney Point facility. We focus primarily on the perspective of the Tampa Bay Estuary Program in its role in coordinating monitoring and evaluating short-term impacts, particularly in the context of seagrass resources and long-term management goals that leverage existing partnerships among local resource management institutions.</w:t>
      </w:r>
    </w:p>
    <w:bookmarkEnd w:id="45"/>
    <w:bookmarkStart w:id="49" w:name="methods"/>
    <w:p>
      <w:pPr>
        <w:pStyle w:val="Heading1"/>
      </w:pPr>
      <w:r>
        <w:t xml:space="preserve">Methods</w:t>
      </w:r>
    </w:p>
    <w:bookmarkStart w:id="46"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discharge from Piney Point began in April, 2021 and continued over the following months. These data were collected through a coordinated effort under the guidance of an effluent plume simulation by a numerical circulation model run by Ocean Circulation Lab at the University of South Florida (USF), College of Marine Science Ocean Circulation Lab. The evolution of discharge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discharge rates. Normalized tracer distributions were automatically updated each day, providing 1-day hindcasts and 3.5-day forecasts throughout the period of effluent release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Details of the sampling methods are provided in supplement. Additional sampling for contaminants (e.g., heavy metals), invertebrates, and nekton was also conducted, but they are not reported here in anticipation of future monitoring events.</w:t>
      </w:r>
    </w:p>
    <w:bookmarkEnd w:id="46"/>
    <w:bookmarkStart w:id="48"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7">
        <w:r>
          <w:rPr>
            <w:rStyle w:val="Hyperlink"/>
          </w:rPr>
          <w:t xml:space="preserve">https://wateratlas.usf.edu/</w:t>
        </w:r>
      </w:hyperlink>
      <w:r>
        <w:t xml:space="preserve">) were used to establish baseline conditions for the major areas of interest in Figure</w:t>
      </w:r>
      <w:r>
        <w:t xml:space="preserve"> </w:t>
      </w:r>
      <w:r>
        <w:t xml:space="preserve">1</w:t>
      </w:r>
      <w:r>
        <w:t xml:space="preserve">a to compare with the response monitoring data described above.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w:t>
      </w:r>
    </w:p>
    <w:p>
      <w:pPr>
        <w:pStyle w:val="BodyText"/>
      </w:pPr>
      <w:r>
        <w:t xml:space="preserve">The historical monitoring data were also used to model an expected seasonal pattern for water quality parameters from April to October in 2021. This was done by estimating smoothed splines using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chlorophyll-a, and secchi disk depth as a general analysis of potential patterns in eutrophication in nitrogen-limited systems.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Variables with log-normal distribution were log</w:t>
      </w:r>
      <m:oMath>
        <m:sSub>
          <m:e>
            <m:r>
              <m:t>​</m:t>
            </m:r>
          </m:e>
          <m:sub>
            <m:r>
              <m:t>10</m:t>
            </m:r>
          </m:sub>
        </m:sSub>
      </m:oMath>
      <w:r>
        <w:t xml:space="preserve">-transformed (i.e., nutrients, chlorophyll) prior to analysis. For statistical tests using water quality data, only the monitoring results from FDEP were used for analysis given the consistency of sample location and collection date compared to the remainder of the data obtained from other partners. Secchi observations that were visually identified on the bottom (71 observations of 431 in the FDEP data) were removed from analysis because these are right-censored data, whereas all other non-detects were left-censored and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long-term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When appropriate, methods were used to accommodate measured concentrations in water quality variables that were below detection. These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Partner data uploaded or entered manually as Google spreadsheets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the GAMs for water quality parameters.</w:t>
      </w:r>
    </w:p>
    <w:bookmarkEnd w:id="48"/>
    <w:bookmarkEnd w:id="49"/>
    <w:bookmarkStart w:id="55" w:name="results"/>
    <w:p>
      <w:pPr>
        <w:pStyle w:val="Heading1"/>
      </w:pPr>
      <w:r>
        <w:t xml:space="preserve">Results</w:t>
      </w:r>
    </w:p>
    <w:bookmarkStart w:id="50" w:name="timeline-of-events-from-april-2021"/>
    <w:p>
      <w:pPr>
        <w:pStyle w:val="Heading2"/>
      </w:pPr>
      <w:r>
        <w:t xml:space="preserve">Timeline of events from April 2021</w:t>
      </w:r>
    </w:p>
    <w:p>
      <w:pPr>
        <w:pStyle w:val="FirstParagraph"/>
      </w:pPr>
      <w:r>
        <w:t xml:space="preserve">A general narrative of 2021 events in Tampa Bay following discharge rom Piney Point is shown in Figure</w:t>
      </w:r>
      <w:r>
        <w:t xml:space="preserve"> </w:t>
      </w:r>
      <w:r>
        <w:t xml:space="preserve">2</w:t>
      </w:r>
      <w:r>
        <w:t xml:space="preserve">. After the discharge stopped on April 9th, an initial phytoplankton response was observed near Piney Point with concentrations peaking around mid-April (Area 1, Figure</w:t>
      </w:r>
      <w:r>
        <w:t xml:space="preserve"> </w:t>
      </w:r>
      <w:r>
        <w:t xml:space="preserve">4</w:t>
      </w:r>
      <w:r>
        <w:t xml:space="preserve">b). Taxa from the Bacillariophyta phylum (diatoms) were dominant in April, with a maximum chlorophyll concentration of 265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(&gt;10k cells/L) by May 23rd, although observations were limited to lower Tampa Bay. Also during May,</w:t>
      </w:r>
      <w:r>
        <w:t xml:space="preserve"> </w:t>
      </w:r>
      <w:r>
        <w:rPr>
          <w:iCs/>
          <w:i/>
        </w:rPr>
        <w:t xml:space="preserve">Dapis spp.</w:t>
      </w:r>
      <w:r>
        <w:t xml:space="preserve"> </w:t>
      </w:r>
      <w:r>
        <w:t xml:space="preserve">(cyanobacteria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after July. Conditions were relatively stable in August and September compared to the months prior. A quantitative description of these events follows.</w:t>
      </w:r>
    </w:p>
    <w:bookmarkEnd w:id="50"/>
    <w:bookmarkStart w:id="51" w:name="water-quality-trends"/>
    <w:p>
      <w:pPr>
        <w:pStyle w:val="Heading2"/>
      </w:pPr>
      <w:r>
        <w:t xml:space="preserve">Water quality trends</w:t>
      </w:r>
    </w:p>
    <w:p>
      <w:pPr>
        <w:pStyle w:val="FirstParagraph"/>
      </w:pPr>
      <w:r>
        <w:t xml:space="preserve">From April through September 2021, 7704 samples were collected for chl-a, dissolved oxygen, total nitrogen, total phosphorus, total ammonia nitrogen, nitrate/nitrite, pH, salinity, secchi depth, and temperature (Table</w:t>
      </w:r>
      <w:r>
        <w:t xml:space="preserve"> </w:t>
      </w:r>
      <w:r>
        <w:t xml:space="preserve">2</w:t>
      </w:r>
      <w:r>
        <w:t xml:space="preserve">). Of these samples, 7.6% were outside of the normal range defined by the long-term monthly monitoring data for the baseline period from 2006 to 2020 (below for Secchi depth, above for all others). The percentage of observations outside of the normal range varied by location and parameter. For chl-a, 50% of the observations were above the normal range for area 1, whereas only 6% and 22% were above for areas 2 and 3, respectively. Total nitrogen concentrations were above the normal range for 37% of observations in area 1, whereas concentrations were above for 22% of observations in area 2 and 22% in area 3. Secchi observations were below the normal range for 34% of observations in area 1 and for 18% and 35% of observations in areas 2 and 3. Notable differences were also observed for dissolved oxygen (e.g., 53% were above in area 1, 44% in area 2). Physical parameters (salinity, temperature) were generally within range over the study period. Inorganic nitrogen (ammonia, nitrate/nitrite) was generally within range, although initial time series showed much higher concentrations for ammonia in April near area 1, similar to the discharge measurements in Table</w:t>
      </w:r>
      <w:r>
        <w:t xml:space="preserve"> </w:t>
      </w:r>
      <w:r>
        <w:t xml:space="preserve">1</w:t>
      </w:r>
      <w:r>
        <w:t xml:space="preserve">.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Total nitrogen, chl-a, and secchi depth followed a temporal progression in 2021 that was distinct from the long-term seasonal trend estimated from historical data (Figure</w:t>
      </w:r>
      <w:r>
        <w:t xml:space="preserve"> </w:t>
      </w:r>
      <w:r>
        <w:t xml:space="preserve">4</w:t>
      </w:r>
      <w:r>
        <w:t xml:space="preserve">). For area 1, total nitrogen and chlorophyll concentrations were frequently above normal ranges during April. Concentrations decreased slightly until June and July when values increased again above the seasonal expectation. Many secchi observations in area 1 were lower than normal in April and July. Observations in areas 2 and 3 were more often within the normal seasonal range, with some exceptions for total nitrogen and chl-a in area 3 in April, May,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 1 and for total nitrogen and chl-a for areas 2 and 3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1"/>
    <w:bookmarkStart w:id="52"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56.8%.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7.1% and 13.2%.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0.1% frequency occurrence. For seagrasses, turtle grass (</w:t>
      </w:r>
      <w:r>
        <w:rPr>
          <w:iCs/>
          <w:i/>
        </w:rPr>
        <w:t xml:space="preserve">T. testudinum</w:t>
      </w:r>
      <w:r>
        <w:t xml:space="preserve">) was the dominant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30.5% and 32.8%,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w:t>
      </w:r>
    </w:p>
    <w:p>
      <w:pPr>
        <w:pStyle w:val="BodyText"/>
      </w:pPr>
      <w:r>
        <w:t xml:space="preserve">Temporal progression of macroalgae and seagrass varied across the months, although a typical pattern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many of the other transects sampled during the study. Red macroalgae were present in high abundances from April to May.</w:t>
      </w:r>
      <w:r>
        <w:t xml:space="preserve"> </w:t>
      </w:r>
      <w:r>
        <w:rPr>
          <w:iCs/>
          <w:i/>
        </w:rPr>
        <w:t xml:space="preserve">Dapis sp.</w:t>
      </w:r>
      <w:r>
        <w:t xml:space="preserve"> </w:t>
      </w:r>
      <w:r>
        <w:t xml:space="preserve">was first observed on May 24th and was present at all of the sample locations on June 4th and 15th.</w:t>
      </w:r>
      <w:r>
        <w:t xml:space="preserve"> </w:t>
      </w:r>
      <w:r>
        <w:rPr>
          <w:iCs/>
          <w:i/>
        </w:rPr>
        <w:t xml:space="preserve">Dapis sp.</w:t>
      </w:r>
      <w:r>
        <w:t xml:space="preserve"> </w:t>
      </w:r>
      <w:r>
        <w:t xml:space="preserve">persisted through June and July, but not was observed after July 20th. Green macroalgae taxa were first observed in July, although at generally low abundances. Red macroalgae were the dominant taxa by the end of September. Overall abundance of seagrass did not change dramatically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across all transects. No transects were sampled in area 2 to the north of Piney Point and no transects were sampled past September in Area 1.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(80.9% in area 1, 95.2% in area 3). Cyanobacteria frequency occurrence peaked in June, with greater coverage in area 3 (42.7%) compared to area 1 (35.7%). Green macroalgae had the second lowest frequency occurrence, although it increased slightly by the end of the study period (8.6% in September in area 1, 30.6%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(44.9% overall in area 1, 57.8% overall area 3), compared to shoal grass (</w:t>
      </w:r>
      <w:r>
        <w:rPr>
          <w:iCs/>
          <w:i/>
        </w:rPr>
        <w:t xml:space="preserve">H. wrightii</w:t>
      </w:r>
      <w:r>
        <w:t xml:space="preserve">, 31% area 1, 37.8% area 3) and manatee grass (</w:t>
      </w:r>
      <w:r>
        <w:rPr>
          <w:iCs/>
          <w:i/>
        </w:rPr>
        <w:t xml:space="preserve">S. filiforme</w:t>
      </w:r>
      <w:r>
        <w:t xml:space="preserve">, 30.5% area 1, 30.4%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(see supplement).</w:t>
      </w:r>
    </w:p>
    <w:bookmarkEnd w:id="52"/>
    <w:bookmarkStart w:id="53" w:name="red-tide-impacts"/>
    <w:p>
      <w:pPr>
        <w:pStyle w:val="Heading2"/>
      </w:pPr>
      <w:r>
        <w:t xml:space="preserve">Red tide impacts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10,000 cells/L was an anomaly in 2021 that is not regularly observed in Tampa Bay. The historical record from 1995 to present in Figure</w:t>
      </w:r>
      <w:r>
        <w:t xml:space="preserve"> </w:t>
      </w:r>
      <w:r>
        <w:t xml:space="preserve">7</w:t>
      </w:r>
      <w:r>
        <w:t xml:space="preserve">a shows the range of cell concentrations sampled in middle and lower Tampa Bay, with only a handful of years having median cell concentrations greater than 10,000 cells/L, notably 2005 and 2018. Median cell concentrations for most years were well below 1,000 cells/L. The highest concentration of 17.6 million cells/L was observed in 2021, whereas only 2006 had a maximum observed concentration above 10 million cells/L</w:t>
      </w:r>
      <w:r>
        <w:t xml:space="preserve"> </w:t>
      </w:r>
      <w:r>
        <w:t xml:space="preserve">(</w:t>
      </w:r>
      <w:hyperlink w:anchor="ref-Flaherty11">
        <w:r>
          <w:rPr>
            <w:rStyle w:val="Hyperlink"/>
          </w:rPr>
          <w:t xml:space="preserve">Flaherty and Landsberg, 2011</w:t>
        </w:r>
      </w:hyperlink>
      <w:r>
        <w:t xml:space="preserve">)</w:t>
      </w:r>
      <w:r>
        <w:t xml:space="preserve">. Seasonally in 2021, bloom concentrations were not observed until the week of May 23, with concentrations peaking by the week of July 4th, after which concentrations declined (Figure</w:t>
      </w:r>
      <w:r>
        <w:t xml:space="preserve"> </w:t>
      </w:r>
      <w:r>
        <w:t xml:space="preserve">7</w:t>
      </w:r>
      <w:r>
        <w:t xml:space="preserve">b). Cumulative rainfall and associated inflow from the main rivers entering Tampa Bay were below historical baseline values (1995 - 2020) in the months prior to the highest bloom concentrations (Figure</w:t>
      </w:r>
      <w:r>
        <w:t xml:space="preserve"> </w:t>
      </w:r>
      <w:r>
        <w:t xml:space="preserve">7</w:t>
      </w:r>
      <w:r>
        <w:t xml:space="preserve">c, d). This likely contributed to elevated salinity values in lower and middle Tampa Bay that created conditions favorable for</w:t>
      </w:r>
      <w:r>
        <w:t xml:space="preserve"> </w:t>
      </w:r>
      <w:r>
        <w:rPr>
          <w:iCs/>
          <w:i/>
        </w:rPr>
        <w:t xml:space="preserve">K. brevis</w:t>
      </w:r>
      <w:r>
        <w:t xml:space="preserve"> </w:t>
      </w:r>
      <w:r>
        <w:t xml:space="preserve">growth, in addition to the elevated nutrient concentrations from the Piney Point discharge.</w:t>
      </w:r>
    </w:p>
    <w:p>
      <w:pPr>
        <w:pStyle w:val="BodyText"/>
      </w:pPr>
      <w:r>
        <w:t xml:space="preserve">Fish kill reports attributed to red tide at the cities of Tampa and Saint Petersburg, FL closely tracked cell concentrations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the first to last week of fish kill reports covered only one and half months, whereas red tide in the bay was observed for nearly four months. Increased fish kill reports in early July may coincided with a shift in winds from Tropical Storm Elsa (Figure</w:t>
      </w:r>
      <w:r>
        <w:t xml:space="preserve"> </w:t>
      </w:r>
      <w:r>
        <w:t xml:space="preserve">7</w:t>
      </w:r>
      <w:r>
        <w:t xml:space="preserve">f), which moved dead fish closer to populated nearshore areas, as noted earlier. By August, Pinellas County and the city of St. Petersburg removed over 1600 metric tons of dead fish near public and private shoreline areas (K. Hammer Levy, Pinellas County, pers. comm. Aug. 2021).</w:t>
      </w:r>
    </w:p>
    <w:bookmarkEnd w:id="53"/>
    <w:bookmarkStart w:id="54" w:name="nutrient-cycling"/>
    <w:p>
      <w:pPr>
        <w:pStyle w:val="Heading2"/>
      </w:pPr>
      <w:r>
        <w:t xml:space="preserve">Nutrient cycling</w:t>
      </w:r>
    </w:p>
    <w:p>
      <w:pPr>
        <w:pStyle w:val="FirstParagraph"/>
      </w:pPr>
      <w:r>
        <w:t xml:space="preserve">The above results can be considered together to develop a narrative of the temporal shift of nutrient pools between ecosystem components of the bay from April to September, starting with the influx of inorganic nitrogen from Piney Point. Total nitrogen concentrations first peaked in April (Figure</w:t>
      </w:r>
      <w:r>
        <w:t xml:space="preserve"> </w:t>
      </w:r>
      <w:r>
        <w:t xml:space="preserve">8</w:t>
      </w:r>
      <w:r>
        <w:t xml:space="preserve">a), as did chlorophyll-a concentrations (Figure</w:t>
      </w:r>
      <w:r>
        <w:t xml:space="preserve"> </w:t>
      </w:r>
      <w:r>
        <w:t xml:space="preserve">8</w:t>
      </w:r>
      <w:r>
        <w:t xml:space="preserve">b). This initial peak in water quality parameters suggested a unique response of the phytoplankton community as an increase in diatoms (Figure</w:t>
      </w:r>
      <w:r>
        <w:t xml:space="preserve"> </w:t>
      </w:r>
      <w:r>
        <w:t xml:space="preserve">8</w:t>
      </w:r>
      <w:r>
        <w:t xml:space="preserve">c) that can readily utilize inorganic forms of nitrogen (e.g., centric species, also</w:t>
      </w:r>
      <w:r>
        <w:t xml:space="preserve"> </w:t>
      </w:r>
      <w:r>
        <w:rPr>
          <w:iCs/>
          <w:i/>
        </w:rPr>
        <w:t xml:space="preserve">Asterionellopsis sp.</w:t>
      </w:r>
      <w:r>
        <w:t xml:space="preserve"> </w:t>
      </w:r>
      <w:r>
        <w:t xml:space="preserve">and</w:t>
      </w:r>
      <w:r>
        <w:t xml:space="preserve"> </w:t>
      </w:r>
      <w:r>
        <w:rPr>
          <w:iCs/>
          <w:i/>
        </w:rPr>
        <w:t xml:space="preserve">Skeletonema sp.</w:t>
      </w:r>
      <w:r>
        <w:t xml:space="preserve">). Water quality indicators improved slightly following the decrease in diatoms in late April, as noted by relatively lower concentrations of total nitrogen and chlorophyll.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total nitrogen and chlorophyll-a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4"/>
    <w:bookmarkEnd w:id="55"/>
    <w:bookmarkStart w:id="61" w:name="discussion"/>
    <w:p>
      <w:pPr>
        <w:pStyle w:val="Heading1"/>
      </w:pPr>
      <w:r>
        <w:t xml:space="preserve">Discussion</w:t>
      </w:r>
    </w:p>
    <w:p>
      <w:pPr>
        <w:pStyle w:val="FirstParagraph"/>
      </w:pPr>
      <w:r>
        <w:t xml:space="preserve">The observed conditions in Tampa Bay in 2021 following the discharge from Piney Point provide a weight of evidence that demonstrates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1600 metric tons of dead fish from shoreline areas. The observed water quality conditions throughout this period, particularly for total nitrogen, chlorophyll-a, and secchi depth, were outside of normal seasonal ranges for many of the observations (Figures</w:t>
      </w:r>
      <w:r>
        <w:t xml:space="preserve"> </w:t>
      </w:r>
      <w:r>
        <w:t xml:space="preserve">3</w:t>
      </w:r>
      <w:r>
        <w:t xml:space="preserve">, Table</w:t>
      </w:r>
      <w:r>
        <w:t xml:space="preserve"> </w:t>
      </w:r>
      <w:r>
        <w:t xml:space="preserve">2</w:t>
      </w:r>
      <w:r>
        <w:t xml:space="preserve">). Although these out-of-range results had specific temporal and spatial patterns, they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56">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13.7 thousand liters</w:t>
      </w:r>
      <w:r>
        <w:t xml:space="preserve"> </w:t>
      </w:r>
      <w:hyperlink r:id="rId57">
        <w:r>
          <w:rPr>
            <w:rStyle w:val="Hyperlink"/>
          </w:rPr>
          <w:t xml:space="preserve">unpublished analysis</w:t>
        </w:r>
      </w:hyperlink>
      <w:r>
        <w:t xml:space="preserve">) compared to the 814 million liters discharged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2017b</w:t>
        </w:r>
      </w:hyperlink>
      <w:r>
        <w:t xml:space="preserve">)</w:t>
      </w:r>
      <w:r>
        <w:t xml:space="preserve">. From both a monitoring perspective and the nature of the effluent directly discharged into Tampa Bay, indicators of eutrophication and primary production in 2021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support known responses of water quality to nutrient loads for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chlorophyll-a, and water transparency followed expectations of reduced water quality with increased nutrient loads. Temporally, these changes were observed at different times and for different species of phytoplankton. The initial increase in chlorophyll-a was first associated with a diatom bloom in April and then by</w:t>
      </w:r>
      <w:r>
        <w:t xml:space="preserve"> </w:t>
      </w:r>
      <w:r>
        <w:rPr>
          <w:iCs/>
          <w:i/>
        </w:rPr>
        <w:t xml:space="preserve">K. brevis</w:t>
      </w:r>
      <w:r>
        <w:t xml:space="preserve"> </w:t>
      </w:r>
      <w:r>
        <w:t xml:space="preserve">in June and July.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total nitrogen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seasonally occur earlier in the growing season. The dominance of the red groups early in the summer followed by an increase in</w:t>
      </w:r>
      <w:r>
        <w:t xml:space="preserve"> </w:t>
      </w:r>
      <w:r>
        <w:rPr>
          <w:iCs/>
          <w:i/>
        </w:rPr>
        <w:t xml:space="preserve">Ulva spp.</w:t>
      </w:r>
      <w:r>
        <w:t xml:space="preserve"> </w:t>
      </w:r>
      <w:r>
        <w:t xml:space="preserve">may reflect a natural phenology in Tampa Bay. The most notable change in the macroalgae community was a high abundance of cyanobacteria (i.e.,</w:t>
      </w:r>
      <w:r>
        <w:t xml:space="preserve"> </w:t>
      </w:r>
      <w:r>
        <w:rPr>
          <w:iCs/>
          <w:i/>
        </w:rPr>
        <w:t xml:space="preserve">Dapis sp.</w:t>
      </w:r>
      <w:r>
        <w:t xml:space="preserve">) in May and June. Unusually high abundances of</w:t>
      </w:r>
      <w:r>
        <w:t xml:space="preserve"> </w:t>
      </w:r>
      <w:r>
        <w:rPr>
          <w:iCs/>
          <w:i/>
        </w:rPr>
        <w:t xml:space="preserve">Dapis sp.</w:t>
      </w:r>
      <w:r>
        <w:t xml:space="preserve"> </w:t>
      </w:r>
      <w:r>
        <w:t xml:space="preserve">were observed in Anna Maria Sound near the mouth of Tampa Bay and near Port Manatee at the discharge site. Long-term monitoring data describing normal seasonal variation in macroalgae are unavailable and we cannot distinguish between seasonal changes and those as a potential response to the Piney Point discharge.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For seagrasses, both major bloom events produced unfavourable water quality conditions, although changes in frequency occurrence of seagrasses were minimal over the study. The long-term effects of the Piney Point discharge on the seagrass community remains uncertain. From 2018 to 2020, seagrass coverage declined by 16% in Tampa Bay, with similar losses observed in Sarasota Bay (18%), Lemon Bay (12%), and Charlotte Harbor (23%) to the south. These broader trends suggest regional drivers are affecting seagrass communities (e.g., variation in precipitation), yet local issues specific to individual bays also pose challenges to managing water quality and subtidal habitats. Recent seagrass losses in Sarasota Bay may be linked to decreased light availability from a persistent red tide bloom in 2018. Although the 2021 bloom in Tampa Bay was short-lived, potential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discharge from Piney Point, create additional and often preventable challenges in the context of broader issues affecting ecosystem health.</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discharge,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Although Piney Point did not cause red tide, the events of 2021 likely created conditions leading to the extreme bloom concentrations in July, which likely would not have been observed if nutrients from Piney Point were not discharged to Tampa Bay.</w:t>
      </w:r>
    </w:p>
    <w:p>
      <w:pPr>
        <w:pStyle w:val="BodyText"/>
      </w:pPr>
      <w:r>
        <w:t xml:space="preserve">Fisheries resources were undoubtedly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restrictions for catch and release only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w:t>
      </w:r>
    </w:p>
    <w:p>
      <w:pPr>
        <w:pStyle w:val="BodyText"/>
      </w:pPr>
      <w:r>
        <w:t xml:space="preserve">Additional monitoring and analysis is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58">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59">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0">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are a serious threat to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gypstack release.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first spill event in 2005 occurred following failure of the retaining walls after a heavy rain event and the second event in 2012 occurred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Although the characteristics of water in a gypstack can vary based on site specific criteria,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can significantly affect coastal resources.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The weight of evidence that 2021 is an anomaly relative to recent prior years provides justification that our interpretation is within the limits of what would be expected by more mechanistic descriptions.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wastewater, could provide a more comprehensive description of the recycling and fate of nitrogen from Piney Point. There may likely never be a definitive link, but this is not necessary to support future actions that ensure that the continued threats of these facilities to the health of coastal resources are mitigated through collaborative efforts by local, regional, and state partners. These efforts are critical to managing the health of Tampa Bay given past successes and the need to address ongoing threats of climate change, population growth, habitat loss, episodic weather events, and recurring pollutant sources to the bay.</w:t>
      </w:r>
    </w:p>
    <w:bookmarkEnd w:id="61"/>
    <w:bookmarkStart w:id="62"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2"/>
    <w:bookmarkStart w:id="73"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3"/>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arch 30th, 2021 through the end of July with the gradual decline of red tide in Tampa Bay." title="" id="1" name="Picture"/>
            <a:graphic>
              <a:graphicData uri="http://schemas.openxmlformats.org/drawingml/2006/picture">
                <pic:pic>
                  <pic:nvPicPr>
                    <pic:cNvPr descr="C:/proj/piney-point-manu/figs/timeline.jpeg" id="0" name="Picture"/>
                    <pic:cNvPicPr>
                      <a:picLocks noChangeArrowheads="1" noChangeAspect="1"/>
                    </pic:cNvPicPr>
                  </pic:nvPicPr>
                  <pic:blipFill>
                    <a:blip r:embed="rId64"/>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March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5"/>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66"/>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6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3962400"/>
            <wp:effectExtent b="0" l="0" r="0" t="0"/>
            <wp:docPr descr="Figure 6: Frequency occurrence estimates for (a) area 1 and (b) area 3 (Figure 1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6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(Figure</w:t>
      </w:r>
      <w:r>
        <w:t xml:space="preserve"> </w:t>
      </w:r>
      <w:r>
        <w:t xml:space="preserve">1</w:t>
      </w:r>
      <w:r>
        <w:t xml:space="preserve">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w:t>
      </w:r>
    </w:p>
    <w:p>
      <w:pPr>
        <w:pStyle w:val="CaptionedFigure"/>
      </w:pPr>
      <w:r>
        <w:drawing>
          <wp:inline>
            <wp:extent cx="5943600" cy="7264400"/>
            <wp:effectExtent b="0" l="0" r="0" t="0"/>
            <wp:docPr descr="Figure 7: Karenia brevis 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69"/>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0">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1">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2"/>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bookmarkEnd w:id="73"/>
    <w:bookmarkStart w:id="74"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March to July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425"/>
        <w:gridCol w:w="1958"/>
        <w:gridCol w:w="1788"/>
        <w:gridCol w:w="596"/>
        <w:gridCol w:w="766"/>
        <w:gridCol w:w="510"/>
        <w:gridCol w:w="510"/>
        <w:gridCol w:w="1362"/>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c>
          <w:p>
            <w:pPr>
              <w:pStyle w:val="Compact"/>
              <w:jc w:val="right"/>
            </w:pPr>
            <w:r>
              <w:t xml:space="preserve">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485</w:t>
            </w:r>
          </w:p>
        </w:tc>
        <w:tc>
          <w:p>
            <w:pPr>
              <w:pStyle w:val="Compact"/>
              <w:jc w:val="right"/>
            </w:pPr>
            <w:r>
              <w:t xml:space="preserve">43.5</w:t>
            </w:r>
          </w:p>
        </w:tc>
        <w:tc>
          <w:p>
            <w:pPr>
              <w:pStyle w:val="Compact"/>
              <w:jc w:val="right"/>
            </w:pPr>
            <w:r>
              <w:t xml:space="preserve">50.1</w:t>
            </w:r>
          </w:p>
        </w:tc>
        <w:tc>
          <w:p>
            <w:pPr>
              <w:pStyle w:val="Compact"/>
              <w:jc w:val="right"/>
            </w:pPr>
            <w:r>
              <w:t xml:space="preserve">6.4</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30.0</w:t>
            </w:r>
          </w:p>
        </w:tc>
        <w:tc>
          <w:p>
            <w:pPr>
              <w:pStyle w:val="Compact"/>
              <w:jc w:val="right"/>
            </w:pPr>
            <w:r>
              <w:t xml:space="preserve">53.3</w:t>
            </w:r>
          </w:p>
        </w:tc>
        <w:tc>
          <w:p>
            <w:pPr>
              <w:pStyle w:val="Compact"/>
              <w:jc w:val="right"/>
            </w:pPr>
            <w:r>
              <w:t xml:space="preserve">16.7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495</w:t>
            </w:r>
          </w:p>
        </w:tc>
        <w:tc>
          <w:p>
            <w:pPr>
              <w:pStyle w:val="Compact"/>
              <w:jc w:val="right"/>
            </w:pPr>
            <w:r>
              <w:t xml:space="preserve">65.7</w:t>
            </w:r>
          </w:p>
        </w:tc>
        <w:tc>
          <w:p>
            <w:pPr>
              <w:pStyle w:val="Compact"/>
              <w:jc w:val="right"/>
            </w:pPr>
            <w:r>
              <w:t xml:space="preserve">17.8</w:t>
            </w:r>
          </w:p>
        </w:tc>
        <w:tc>
          <w:p>
            <w:pPr>
              <w:pStyle w:val="Compact"/>
              <w:jc w:val="right"/>
            </w:pPr>
            <w:r>
              <w:t xml:space="preserve">16.6</w:t>
            </w:r>
          </w:p>
        </w:tc>
        <w:tc>
          <w:p>
            <w:pPr>
              <w:pStyle w:val="Compact"/>
              <w:jc w:val="right"/>
            </w:pPr>
            <w:r>
              <w:t xml:space="preserve">26.9</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517</w:t>
            </w:r>
          </w:p>
        </w:tc>
        <w:tc>
          <w:p>
            <w:pPr>
              <w:pStyle w:val="Compact"/>
              <w:jc w:val="right"/>
            </w:pPr>
            <w:r>
              <w:t xml:space="preserve">63.1</w:t>
            </w:r>
          </w:p>
        </w:tc>
        <w:tc>
          <w:p>
            <w:pPr>
              <w:pStyle w:val="Compact"/>
              <w:jc w:val="right"/>
            </w:pPr>
            <w:r>
              <w:t xml:space="preserve">19.1</w:t>
            </w:r>
          </w:p>
        </w:tc>
        <w:tc>
          <w:p>
            <w:pPr>
              <w:pStyle w:val="Compact"/>
              <w:jc w:val="right"/>
            </w:pPr>
            <w:r>
              <w:t xml:space="preserve">17.8</w:t>
            </w:r>
          </w:p>
        </w:tc>
        <w:tc>
          <w:p>
            <w:pPr>
              <w:pStyle w:val="Compact"/>
              <w:jc w:val="right"/>
            </w:pPr>
            <w:r>
              <w:t xml:space="preserve">70.2</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476</w:t>
            </w:r>
          </w:p>
        </w:tc>
        <w:tc>
          <w:p>
            <w:pPr>
              <w:pStyle w:val="Compact"/>
              <w:jc w:val="right"/>
            </w:pPr>
            <w:r>
              <w:t xml:space="preserve">57.6</w:t>
            </w:r>
          </w:p>
        </w:tc>
        <w:tc>
          <w:p>
            <w:pPr>
              <w:pStyle w:val="Compact"/>
              <w:jc w:val="right"/>
            </w:pPr>
            <w:r>
              <w:t xml:space="preserve">28.8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83.0</w:t>
            </w:r>
          </w:p>
        </w:tc>
        <w:tc>
          <w:p>
            <w:pPr>
              <w:pStyle w:val="Compact"/>
              <w:jc w:val="right"/>
            </w:pPr>
            <w:r>
              <w:t xml:space="preserve">4.3</w:t>
            </w:r>
          </w:p>
        </w:tc>
        <w:tc>
          <w:p>
            <w:pPr>
              <w:pStyle w:val="Compact"/>
              <w:jc w:val="right"/>
            </w:pPr>
            <w:r>
              <w:t xml:space="preserve">12.7</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44.1</w:t>
            </w:r>
          </w:p>
        </w:tc>
        <w:tc>
          <w:p>
            <w:pPr>
              <w:pStyle w:val="Compact"/>
              <w:jc w:val="right"/>
            </w:pPr>
            <w:r>
              <w:t xml:space="preserve">22.1</w:t>
            </w:r>
          </w:p>
        </w:tc>
        <w:tc>
          <w:p>
            <w:pPr>
              <w:pStyle w:val="Compact"/>
              <w:jc w:val="right"/>
            </w:pPr>
            <w:r>
              <w:t xml:space="preserve">33.8</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65.6</w:t>
            </w:r>
          </w:p>
        </w:tc>
        <w:tc>
          <w:p>
            <w:pPr>
              <w:pStyle w:val="Compact"/>
              <w:jc w:val="right"/>
            </w:pPr>
            <w:r>
              <w:t xml:space="preserve">15.4</w:t>
            </w:r>
          </w:p>
        </w:tc>
        <w:tc>
          <w:p>
            <w:pPr>
              <w:pStyle w:val="Compact"/>
              <w:jc w:val="right"/>
            </w:pPr>
            <w:r>
              <w:t xml:space="preserve">19.0</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430</w:t>
            </w:r>
          </w:p>
        </w:tc>
        <w:tc>
          <w:p>
            <w:pPr>
              <w:pStyle w:val="Compact"/>
              <w:jc w:val="right"/>
            </w:pPr>
            <w:r>
              <w:t xml:space="preserve">58.4</w:t>
            </w:r>
          </w:p>
        </w:tc>
        <w:tc>
          <w:p>
            <w:pPr>
              <w:pStyle w:val="Compact"/>
              <w:jc w:val="right"/>
            </w:pPr>
            <w:r>
              <w:t xml:space="preserve">37.2</w:t>
            </w:r>
          </w:p>
        </w:tc>
        <w:tc>
          <w:p>
            <w:pPr>
              <w:pStyle w:val="Compact"/>
              <w:jc w:val="right"/>
            </w:pPr>
            <w:r>
              <w:t xml:space="preserve">4.4</w:t>
            </w:r>
          </w:p>
        </w:tc>
        <w:tc>
          <w:p>
            <w:pPr>
              <w:pStyle w:val="Compact"/>
              <w:jc w:val="right"/>
            </w:pPr>
            <w:r>
              <w:t xml:space="preserve">4.0</w:t>
            </w:r>
          </w:p>
        </w:tc>
      </w:tr>
      <w:tr>
        <w:tc>
          <w:p/>
        </w:tc>
        <w:tc>
          <w:p>
            <w:pPr>
              <w:pStyle w:val="Compact"/>
              <w:jc w:val="left"/>
            </w:pPr>
            <w:r>
              <w:t xml:space="preserve">TP (mg/L)</w:t>
            </w:r>
          </w:p>
        </w:tc>
        <w:tc>
          <w:p>
            <w:pPr>
              <w:pStyle w:val="Compact"/>
              <w:jc w:val="left"/>
            </w:pPr>
            <w:r>
              <w:t xml:space="preserve">0.12 (0.019, 3.9)</w:t>
            </w:r>
          </w:p>
        </w:tc>
        <w:tc>
          <w:p>
            <w:pPr>
              <w:pStyle w:val="Compact"/>
              <w:jc w:val="right"/>
            </w:pPr>
            <w:r>
              <w:t xml:space="preserve">485</w:t>
            </w:r>
          </w:p>
        </w:tc>
        <w:tc>
          <w:p>
            <w:pPr>
              <w:pStyle w:val="Compact"/>
              <w:jc w:val="right"/>
            </w:pPr>
            <w:r>
              <w:t xml:space="preserve">81.0</w:t>
            </w:r>
          </w:p>
        </w:tc>
        <w:tc>
          <w:p>
            <w:pPr>
              <w:pStyle w:val="Compact"/>
              <w:jc w:val="right"/>
            </w:pPr>
            <w:r>
              <w:t xml:space="preserve">15.1</w:t>
            </w:r>
          </w:p>
        </w:tc>
        <w:tc>
          <w:p>
            <w:pPr>
              <w:pStyle w:val="Compact"/>
              <w:jc w:val="right"/>
            </w:pPr>
            <w:r>
              <w:t xml:space="preserve">3.9</w:t>
            </w:r>
          </w:p>
        </w:tc>
        <w:tc>
          <w:p>
            <w:pPr>
              <w:pStyle w:val="Compact"/>
              <w:jc w:val="right"/>
            </w:pPr>
            <w:r>
              <w:t xml:space="preserve">0.8</w:t>
            </w:r>
          </w:p>
        </w:tc>
      </w:tr>
      <w:tr>
        <w:tc>
          <w:p>
            <w:pPr>
              <w:pStyle w:val="Compact"/>
              <w:jc w:val="left"/>
            </w:pPr>
            <w:r>
              <w:t xml:space="preserve">2</w:t>
            </w:r>
          </w:p>
        </w:tc>
        <w:tc>
          <w:p>
            <w:pPr>
              <w:pStyle w:val="Compact"/>
              <w:jc w:val="left"/>
            </w:pPr>
            <w:r>
              <w:t xml:space="preserve">Chl-a (ug/L)</w:t>
            </w:r>
          </w:p>
        </w:tc>
        <w:tc>
          <w:p>
            <w:pPr>
              <w:pStyle w:val="Compact"/>
              <w:jc w:val="left"/>
            </w:pPr>
            <w:r>
              <w:t xml:space="preserve">2.7 (1.08, 42)</w:t>
            </w:r>
          </w:p>
        </w:tc>
        <w:tc>
          <w:p>
            <w:pPr>
              <w:pStyle w:val="Compact"/>
              <w:jc w:val="right"/>
            </w:pPr>
            <w:r>
              <w:t xml:space="preserve">78</w:t>
            </w:r>
          </w:p>
        </w:tc>
        <w:tc>
          <w:p>
            <w:pPr>
              <w:pStyle w:val="Compact"/>
              <w:jc w:val="right"/>
            </w:pPr>
            <w:r>
              <w:t xml:space="preserve">60.3</w:t>
            </w:r>
          </w:p>
        </w:tc>
        <w:tc>
          <w:p>
            <w:pPr>
              <w:pStyle w:val="Compact"/>
              <w:jc w:val="right"/>
            </w:pPr>
            <w:r>
              <w:t xml:space="preserve">6.4</w:t>
            </w:r>
          </w:p>
        </w:tc>
        <w:tc>
          <w:p>
            <w:pPr>
              <w:pStyle w:val="Compact"/>
              <w:jc w:val="right"/>
            </w:pPr>
            <w:r>
              <w:t xml:space="preserve">33.3</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42.5</w:t>
            </w:r>
          </w:p>
        </w:tc>
        <w:tc>
          <w:p>
            <w:pPr>
              <w:pStyle w:val="Compact"/>
              <w:jc w:val="right"/>
            </w:pPr>
            <w:r>
              <w:t xml:space="preserve">43.8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(0.002, 0.071)</w:t>
            </w:r>
          </w:p>
        </w:tc>
        <w:tc>
          <w:p>
            <w:pPr>
              <w:pStyle w:val="Compact"/>
              <w:jc w:val="right"/>
            </w:pPr>
            <w:r>
              <w:t xml:space="preserve">76</w:t>
            </w:r>
          </w:p>
        </w:tc>
        <w:tc>
          <w:p>
            <w:pPr>
              <w:pStyle w:val="Compact"/>
              <w:jc w:val="right"/>
            </w:pPr>
            <w:r>
              <w:t xml:space="preserve">85.5</w:t>
            </w:r>
          </w:p>
        </w:tc>
        <w:tc>
          <w:p>
            <w:pPr>
              <w:pStyle w:val="Compact"/>
              <w:jc w:val="right"/>
            </w:pPr>
            <w:r>
              <w:t xml:space="preserve">1.3</w:t>
            </w:r>
          </w:p>
        </w:tc>
        <w:tc>
          <w:p>
            <w:pPr>
              <w:pStyle w:val="Compact"/>
              <w:jc w:val="right"/>
            </w:pPr>
            <w:r>
              <w:t xml:space="preserve">13.2</w:t>
            </w:r>
          </w:p>
        </w:tc>
        <w:tc>
          <w:p>
            <w:pPr>
              <w:pStyle w:val="Compact"/>
              <w:jc w:val="right"/>
            </w:pPr>
            <w:r>
              <w:t xml:space="preserve">27.6</w:t>
            </w:r>
          </w:p>
        </w:tc>
      </w:tr>
      <w:tr>
        <w:tc>
          <w:p/>
        </w:tc>
        <w:tc>
          <w:p>
            <w:pPr>
              <w:pStyle w:val="Compact"/>
              <w:jc w:val="left"/>
            </w:pPr>
            <w:r>
              <w:t xml:space="preserve">Nitrate/Nitrite (mg/L)</w:t>
            </w:r>
          </w:p>
        </w:tc>
        <w:tc>
          <w:p>
            <w:pPr>
              <w:pStyle w:val="Compact"/>
              <w:jc w:val="left"/>
            </w:pPr>
            <w:r>
              <w:t xml:space="preserve">- (0.00078, 0.037)</w:t>
            </w:r>
          </w:p>
        </w:tc>
        <w:tc>
          <w:p>
            <w:pPr>
              <w:pStyle w:val="Compact"/>
              <w:jc w:val="right"/>
            </w:pPr>
            <w:r>
              <w:t xml:space="preserve">87</w:t>
            </w:r>
          </w:p>
        </w:tc>
        <w:tc>
          <w:p>
            <w:pPr>
              <w:pStyle w:val="Compact"/>
              <w:jc w:val="right"/>
            </w:pPr>
            <w:r>
              <w:t xml:space="preserve">63.2</w:t>
            </w:r>
          </w:p>
        </w:tc>
        <w:tc>
          <w:p>
            <w:pPr>
              <w:pStyle w:val="Compact"/>
              <w:jc w:val="right"/>
            </w:pPr>
            <w:r>
              <w:t xml:space="preserve">18.4</w:t>
            </w:r>
          </w:p>
        </w:tc>
        <w:tc>
          <w:p>
            <w:pPr>
              <w:pStyle w:val="Compact"/>
              <w:jc w:val="right"/>
            </w:pPr>
            <w:r>
              <w:t xml:space="preserve">18.4</w:t>
            </w:r>
          </w:p>
        </w:tc>
        <w:tc>
          <w:p>
            <w:pPr>
              <w:pStyle w:val="Compact"/>
              <w:jc w:val="right"/>
            </w:pPr>
            <w:r>
              <w:t xml:space="preserve">80.5</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71.7</w:t>
            </w:r>
          </w:p>
        </w:tc>
        <w:tc>
          <w:p>
            <w:pPr>
              <w:pStyle w:val="Compact"/>
              <w:jc w:val="right"/>
            </w:pPr>
            <w:r>
              <w:t xml:space="preserve">16.3</w:t>
            </w:r>
          </w:p>
        </w:tc>
        <w:tc>
          <w:p>
            <w:pPr>
              <w:pStyle w:val="Compact"/>
              <w:jc w:val="right"/>
            </w:pPr>
            <w:r>
              <w:t xml:space="preserve">12.0</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90.4</w:t>
            </w:r>
          </w:p>
        </w:tc>
        <w:tc>
          <w:p>
            <w:pPr>
              <w:pStyle w:val="Compact"/>
              <w:jc w:val="right"/>
            </w:pPr>
            <w:r>
              <w:t xml:space="preserve">0.0</w:t>
            </w:r>
          </w:p>
        </w:tc>
        <w:tc>
          <w:p>
            <w:pPr>
              <w:pStyle w:val="Compact"/>
              <w:jc w:val="right"/>
            </w:pPr>
            <w:r>
              <w:t xml:space="preserve">9.6</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51.9</w:t>
            </w:r>
          </w:p>
        </w:tc>
        <w:tc>
          <w:p>
            <w:pPr>
              <w:pStyle w:val="Compact"/>
              <w:jc w:val="right"/>
            </w:pPr>
            <w:r>
              <w:t xml:space="preserve">29.6</w:t>
            </w:r>
          </w:p>
        </w:tc>
        <w:tc>
          <w:p>
            <w:pPr>
              <w:pStyle w:val="Compact"/>
              <w:jc w:val="right"/>
            </w:pPr>
            <w:r>
              <w:t xml:space="preserve">18.5</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72.6</w:t>
            </w:r>
          </w:p>
        </w:tc>
        <w:tc>
          <w:p>
            <w:pPr>
              <w:pStyle w:val="Compact"/>
              <w:jc w:val="right"/>
            </w:pPr>
            <w:r>
              <w:t xml:space="preserve">6.8</w:t>
            </w:r>
          </w:p>
        </w:tc>
        <w:tc>
          <w:p>
            <w:pPr>
              <w:pStyle w:val="Compact"/>
              <w:jc w:val="right"/>
            </w:pPr>
            <w:r>
              <w:t xml:space="preserve">20.5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0.344 (0.068, 1.13)</w:t>
            </w:r>
          </w:p>
        </w:tc>
        <w:tc>
          <w:p>
            <w:pPr>
              <w:pStyle w:val="Compact"/>
              <w:jc w:val="right"/>
            </w:pPr>
            <w:r>
              <w:t xml:space="preserve">63</w:t>
            </w:r>
          </w:p>
        </w:tc>
        <w:tc>
          <w:p>
            <w:pPr>
              <w:pStyle w:val="Compact"/>
              <w:jc w:val="right"/>
            </w:pPr>
            <w:r>
              <w:t xml:space="preserve">65.1</w:t>
            </w:r>
          </w:p>
        </w:tc>
        <w:tc>
          <w:p>
            <w:pPr>
              <w:pStyle w:val="Compact"/>
              <w:jc w:val="right"/>
            </w:pPr>
            <w:r>
              <w:t xml:space="preserve">22.2</w:t>
            </w:r>
          </w:p>
        </w:tc>
        <w:tc>
          <w:p>
            <w:pPr>
              <w:pStyle w:val="Compact"/>
              <w:jc w:val="right"/>
            </w:pPr>
            <w:r>
              <w:t xml:space="preserve">12.7</w:t>
            </w:r>
          </w:p>
        </w:tc>
        <w:tc>
          <w:p>
            <w:pPr>
              <w:pStyle w:val="Compact"/>
              <w:jc w:val="right"/>
            </w:pPr>
            <w:r>
              <w:t xml:space="preserve">14.3</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67</w:t>
            </w:r>
          </w:p>
        </w:tc>
        <w:tc>
          <w:p>
            <w:pPr>
              <w:pStyle w:val="Compact"/>
              <w:jc w:val="right"/>
            </w:pPr>
            <w:r>
              <w:t xml:space="preserve">59.7</w:t>
            </w:r>
          </w:p>
        </w:tc>
        <w:tc>
          <w:p>
            <w:pPr>
              <w:pStyle w:val="Compact"/>
              <w:jc w:val="right"/>
            </w:pPr>
            <w:r>
              <w:t xml:space="preserve">11.9</w:t>
            </w:r>
          </w:p>
        </w:tc>
        <w:tc>
          <w:p>
            <w:pPr>
              <w:pStyle w:val="Compact"/>
              <w:jc w:val="right"/>
            </w:pPr>
            <w:r>
              <w:t xml:space="preserve">28.4</w:t>
            </w:r>
          </w:p>
        </w:tc>
        <w:tc>
          <w:p>
            <w:pPr>
              <w:pStyle w:val="Compact"/>
              <w:jc w:val="right"/>
            </w:pPr>
            <w:r>
              <w:t xml:space="preserve">0.0</w:t>
            </w:r>
          </w:p>
        </w:tc>
      </w:tr>
      <w:tr>
        <w:tc>
          <w:p>
            <w:pPr>
              <w:pStyle w:val="Compact"/>
              <w:jc w:val="left"/>
            </w:pPr>
            <w:r>
              <w:t xml:space="preserve">3</w:t>
            </w:r>
          </w:p>
        </w:tc>
        <w:tc>
          <w:p>
            <w:pPr>
              <w:pStyle w:val="Compact"/>
              <w:jc w:val="left"/>
            </w:pPr>
            <w:r>
              <w:t xml:space="preserve">Chl-a (ug/L)</w:t>
            </w:r>
          </w:p>
        </w:tc>
        <w:tc>
          <w:p>
            <w:pPr>
              <w:pStyle w:val="Compact"/>
              <w:jc w:val="left"/>
            </w:pPr>
            <w:r>
              <w:t xml:space="preserve">2.9 (0.93, 25.9)</w:t>
            </w:r>
          </w:p>
        </w:tc>
        <w:tc>
          <w:p>
            <w:pPr>
              <w:pStyle w:val="Compact"/>
              <w:jc w:val="right"/>
            </w:pPr>
            <w:r>
              <w:t xml:space="preserve">254</w:t>
            </w:r>
          </w:p>
        </w:tc>
        <w:tc>
          <w:p>
            <w:pPr>
              <w:pStyle w:val="Compact"/>
              <w:jc w:val="right"/>
            </w:pPr>
            <w:r>
              <w:t xml:space="preserve">68.9</w:t>
            </w:r>
          </w:p>
        </w:tc>
        <w:tc>
          <w:p>
            <w:pPr>
              <w:pStyle w:val="Compact"/>
              <w:jc w:val="right"/>
            </w:pPr>
            <w:r>
              <w:t xml:space="preserve">22.4</w:t>
            </w:r>
          </w:p>
        </w:tc>
        <w:tc>
          <w:p>
            <w:pPr>
              <w:pStyle w:val="Compact"/>
              <w:jc w:val="right"/>
            </w:pPr>
            <w:r>
              <w:t xml:space="preserve">8.7</w:t>
            </w:r>
          </w:p>
        </w:tc>
        <w:tc>
          <w:p>
            <w:pPr>
              <w:pStyle w:val="Compact"/>
              <w:jc w:val="right"/>
            </w:pPr>
            <w:r>
              <w:t xml:space="preserve">0.4</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52.9</w:t>
            </w:r>
          </w:p>
        </w:tc>
        <w:tc>
          <w:p>
            <w:pPr>
              <w:pStyle w:val="Compact"/>
              <w:jc w:val="right"/>
            </w:pPr>
            <w:r>
              <w:t xml:space="preserve">26.5</w:t>
            </w:r>
          </w:p>
        </w:tc>
        <w:tc>
          <w:p>
            <w:pPr>
              <w:pStyle w:val="Compact"/>
              <w:jc w:val="right"/>
            </w:pPr>
            <w:r>
              <w:t xml:space="preserve">20.6</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248</w:t>
            </w:r>
          </w:p>
        </w:tc>
        <w:tc>
          <w:p>
            <w:pPr>
              <w:pStyle w:val="Compact"/>
              <w:jc w:val="right"/>
            </w:pPr>
            <w:r>
              <w:t xml:space="preserve">54.8</w:t>
            </w:r>
          </w:p>
        </w:tc>
        <w:tc>
          <w:p>
            <w:pPr>
              <w:pStyle w:val="Compact"/>
              <w:jc w:val="right"/>
            </w:pPr>
            <w:r>
              <w:t xml:space="preserve">0.0</w:t>
            </w:r>
          </w:p>
        </w:tc>
        <w:tc>
          <w:p>
            <w:pPr>
              <w:pStyle w:val="Compact"/>
              <w:jc w:val="right"/>
            </w:pPr>
            <w:r>
              <w:t xml:space="preserve">45.2</w:t>
            </w:r>
          </w:p>
        </w:tc>
        <w:tc>
          <w:p>
            <w:pPr>
              <w:pStyle w:val="Compact"/>
              <w:jc w:val="right"/>
            </w:pPr>
            <w:r>
              <w:t xml:space="preserve">54.8</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267</w:t>
            </w:r>
          </w:p>
        </w:tc>
        <w:tc>
          <w:p>
            <w:pPr>
              <w:pStyle w:val="Compact"/>
              <w:jc w:val="right"/>
            </w:pPr>
            <w:r>
              <w:t xml:space="preserve">59.9</w:t>
            </w:r>
          </w:p>
        </w:tc>
        <w:tc>
          <w:p>
            <w:pPr>
              <w:pStyle w:val="Compact"/>
              <w:jc w:val="right"/>
            </w:pPr>
            <w:r>
              <w:t xml:space="preserve">9.4</w:t>
            </w:r>
          </w:p>
        </w:tc>
        <w:tc>
          <w:p>
            <w:pPr>
              <w:pStyle w:val="Compact"/>
              <w:jc w:val="right"/>
            </w:pPr>
            <w:r>
              <w:t xml:space="preserve">30.7</w:t>
            </w:r>
          </w:p>
        </w:tc>
        <w:tc>
          <w:p>
            <w:pPr>
              <w:pStyle w:val="Compact"/>
              <w:jc w:val="right"/>
            </w:pPr>
            <w:r>
              <w:t xml:space="preserve">92.9</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69.5</w:t>
            </w:r>
          </w:p>
        </w:tc>
        <w:tc>
          <w:p>
            <w:pPr>
              <w:pStyle w:val="Compact"/>
              <w:jc w:val="right"/>
            </w:pPr>
            <w:r>
              <w:t xml:space="preserve">21.1</w:t>
            </w:r>
          </w:p>
        </w:tc>
        <w:tc>
          <w:p>
            <w:pPr>
              <w:pStyle w:val="Compact"/>
              <w:jc w:val="right"/>
            </w:pPr>
            <w:r>
              <w:t xml:space="preserve">9.3</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81.0</w:t>
            </w:r>
          </w:p>
        </w:tc>
        <w:tc>
          <w:p>
            <w:pPr>
              <w:pStyle w:val="Compact"/>
              <w:jc w:val="right"/>
            </w:pPr>
            <w:r>
              <w:t xml:space="preserve">7.8</w:t>
            </w:r>
          </w:p>
        </w:tc>
        <w:tc>
          <w:p>
            <w:pPr>
              <w:pStyle w:val="Compact"/>
              <w:jc w:val="right"/>
            </w:pPr>
            <w:r>
              <w:t xml:space="preserve">11.2</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48.5</w:t>
            </w:r>
          </w:p>
        </w:tc>
        <w:tc>
          <w:p>
            <w:pPr>
              <w:pStyle w:val="Compact"/>
              <w:jc w:val="right"/>
            </w:pPr>
            <w:r>
              <w:t xml:space="preserve">16.5</w:t>
            </w:r>
          </w:p>
        </w:tc>
        <w:tc>
          <w:p>
            <w:pPr>
              <w:pStyle w:val="Compact"/>
              <w:jc w:val="right"/>
            </w:pPr>
            <w:r>
              <w:t xml:space="preserve">35.0</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63.6</w:t>
            </w:r>
          </w:p>
        </w:tc>
        <w:tc>
          <w:p>
            <w:pPr>
              <w:pStyle w:val="Compact"/>
              <w:jc w:val="right"/>
            </w:pPr>
            <w:r>
              <w:t xml:space="preserve">12.6</w:t>
            </w:r>
          </w:p>
        </w:tc>
        <w:tc>
          <w:p>
            <w:pPr>
              <w:pStyle w:val="Compact"/>
              <w:jc w:val="right"/>
            </w:pPr>
            <w:r>
              <w:t xml:space="preserve">23.8</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249</w:t>
            </w:r>
          </w:p>
        </w:tc>
        <w:tc>
          <w:p>
            <w:pPr>
              <w:pStyle w:val="Compact"/>
              <w:jc w:val="right"/>
            </w:pPr>
            <w:r>
              <w:t xml:space="preserve">73.1</w:t>
            </w:r>
          </w:p>
        </w:tc>
        <w:tc>
          <w:p>
            <w:pPr>
              <w:pStyle w:val="Compact"/>
              <w:jc w:val="right"/>
            </w:pPr>
            <w:r>
              <w:t xml:space="preserve">21.7</w:t>
            </w:r>
          </w:p>
        </w:tc>
        <w:tc>
          <w:p>
            <w:pPr>
              <w:pStyle w:val="Compact"/>
              <w:jc w:val="right"/>
            </w:pPr>
            <w:r>
              <w:t xml:space="preserve">5.2</w:t>
            </w:r>
          </w:p>
        </w:tc>
        <w:tc>
          <w:p>
            <w:pPr>
              <w:pStyle w:val="Compact"/>
              <w:jc w:val="right"/>
            </w:pPr>
            <w:r>
              <w:t xml:space="preserve">10.0</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256</w:t>
            </w:r>
          </w:p>
        </w:tc>
        <w:tc>
          <w:p>
            <w:pPr>
              <w:pStyle w:val="Compact"/>
              <w:jc w:val="right"/>
            </w:pPr>
            <w:r>
              <w:t xml:space="preserve">77.7</w:t>
            </w:r>
          </w:p>
        </w:tc>
        <w:tc>
          <w:p>
            <w:pPr>
              <w:pStyle w:val="Compact"/>
              <w:jc w:val="right"/>
            </w:pPr>
            <w:r>
              <w:t xml:space="preserve">10.5</w:t>
            </w:r>
          </w:p>
        </w:tc>
        <w:tc>
          <w:p>
            <w:pPr>
              <w:pStyle w:val="Compact"/>
              <w:jc w:val="right"/>
            </w:pPr>
            <w:r>
              <w:t xml:space="preserve">11.7</w:t>
            </w:r>
          </w:p>
        </w:tc>
        <w:tc>
          <w:p>
            <w:pPr>
              <w:pStyle w:val="Compact"/>
              <w:jc w:val="right"/>
            </w:pPr>
            <w:r>
              <w:t xml:space="preserve">17.6</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50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gridCol w:w="400"/>
        <w:gridCol w:w="1840"/>
        <w:gridCol w:w="640"/>
        <w:gridCol w:w="480"/>
        <w:gridCol w:w="480"/>
        <w:gridCol w:w="560"/>
        <w:gridCol w:w="1280"/>
        <w:gridCol w:w="2240"/>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right"/>
            </w:pPr>
            <w:r>
              <w:t xml:space="preserve">Observed median</w:t>
            </w:r>
          </w:p>
        </w:tc>
        <w:tc>
          <w:p>
            <w:pPr>
              <w:pStyle w:val="Compact"/>
              <w:jc w:val="right"/>
            </w:pPr>
            <w:r>
              <w:t xml:space="preserve">Seasonally-corrected median</w:t>
            </w:r>
          </w:p>
        </w:tc>
      </w:tr>
      <w:tr>
        <w:tc>
          <w:p>
            <w:pPr>
              <w:pStyle w:val="Compact"/>
              <w:jc w:val="left"/>
            </w:pPr>
            <w:r>
              <w:t xml:space="preserve">1</w:t>
            </w:r>
          </w:p>
        </w:tc>
        <w:tc>
          <w:p>
            <w:pPr>
              <w:pStyle w:val="Compact"/>
              <w:jc w:val="left"/>
            </w:pPr>
            <w:r>
              <w:t xml:space="preserve">TN (mg/L)</w:t>
            </w:r>
          </w:p>
        </w:tc>
        <w:tc>
          <w:p>
            <w:pPr>
              <w:pStyle w:val="Compact"/>
              <w:jc w:val="left"/>
            </w:pPr>
            <w:r>
              <w:t xml:space="preserve">25.01**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right"/>
            </w:pPr>
            <w:r>
              <w:t xml:space="preserve">0.390</w:t>
            </w:r>
          </w:p>
        </w:tc>
        <w:tc>
          <w:p>
            <w:pPr>
              <w:pStyle w:val="Compact"/>
              <w:jc w:val="right"/>
            </w:pPr>
            <w:r>
              <w:t xml:space="preserve">0.008</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0.360</w:t>
            </w:r>
          </w:p>
        </w:tc>
        <w:tc>
          <w:p>
            <w:pPr>
              <w:pStyle w:val="Compact"/>
              <w:jc w:val="right"/>
            </w:pPr>
            <w:r>
              <w:t xml:space="preserve">0.110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38</w:t>
            </w:r>
          </w:p>
        </w:tc>
        <w:tc>
          <w:p>
            <w:pPr>
              <w:pStyle w:val="Compact"/>
              <w:jc w:val="right"/>
            </w:pPr>
            <w:r>
              <w:t xml:space="preserve">0.430</w:t>
            </w:r>
          </w:p>
        </w:tc>
        <w:tc>
          <w:p>
            <w:pPr>
              <w:pStyle w:val="Compact"/>
              <w:jc w:val="right"/>
            </w:pPr>
            <w:r>
              <w:t xml:space="preserve">0.112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right"/>
            </w:pPr>
            <w:r>
              <w:t xml:space="preserve">0.520</w:t>
            </w:r>
          </w:p>
        </w:tc>
        <w:tc>
          <w:p>
            <w:pPr>
              <w:pStyle w:val="Compact"/>
              <w:jc w:val="right"/>
            </w:pPr>
            <w:r>
              <w:t xml:space="preserve">0.178</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25</w:t>
            </w:r>
          </w:p>
        </w:tc>
        <w:tc>
          <w:p>
            <w:pPr>
              <w:pStyle w:val="Compact"/>
              <w:jc w:val="right"/>
            </w:pPr>
            <w:r>
              <w:t xml:space="preserve">0.470</w:t>
            </w:r>
          </w:p>
        </w:tc>
        <w:tc>
          <w:p>
            <w:pPr>
              <w:pStyle w:val="Compact"/>
              <w:jc w:val="right"/>
            </w:pPr>
            <w:r>
              <w:t xml:space="preserve">0.065</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right"/>
            </w:pPr>
            <w:r>
              <w:t xml:space="preserve">0.390</w:t>
            </w:r>
          </w:p>
        </w:tc>
        <w:tc>
          <w:p>
            <w:pPr>
              <w:pStyle w:val="Compact"/>
              <w:jc w:val="right"/>
            </w:pPr>
            <w:r>
              <w:t xml:space="preserve">0.075</w:t>
            </w:r>
          </w:p>
        </w:tc>
      </w:tr>
      <w:tr>
        <w:tc>
          <w:p/>
        </w:tc>
        <w:tc>
          <w:p>
            <w:pPr>
              <w:pStyle w:val="Compact"/>
              <w:jc w:val="left"/>
            </w:pPr>
            <w:r>
              <w:t xml:space="preserve">Chl-a (ug/L)</w:t>
            </w:r>
          </w:p>
        </w:tc>
        <w:tc>
          <w:p>
            <w:pPr>
              <w:pStyle w:val="Compact"/>
              <w:jc w:val="left"/>
            </w:pPr>
            <w:r>
              <w:t xml:space="preserve">61.84**</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right"/>
            </w:pPr>
            <w:r>
              <w:t xml:space="preserve">3.300</w:t>
            </w:r>
          </w:p>
        </w:tc>
        <w:tc>
          <w:p>
            <w:pPr>
              <w:pStyle w:val="Compact"/>
              <w:jc w:val="right"/>
            </w:pPr>
            <w:r>
              <w:t xml:space="preserve">1.010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2.400</w:t>
            </w:r>
          </w:p>
        </w:tc>
        <w:tc>
          <w:p>
            <w:pPr>
              <w:pStyle w:val="Compact"/>
              <w:jc w:val="right"/>
            </w:pPr>
            <w:r>
              <w:t xml:space="preserve">-0.870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38</w:t>
            </w:r>
          </w:p>
        </w:tc>
        <w:tc>
          <w:p>
            <w:pPr>
              <w:pStyle w:val="Compact"/>
              <w:jc w:val="right"/>
            </w:pPr>
            <w:r>
              <w:t xml:space="preserve">6.600</w:t>
            </w:r>
          </w:p>
        </w:tc>
        <w:tc>
          <w:p>
            <w:pPr>
              <w:pStyle w:val="Compact"/>
              <w:jc w:val="right"/>
            </w:pPr>
            <w:r>
              <w:t xml:space="preserve">1.960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24</w:t>
            </w:r>
          </w:p>
        </w:tc>
        <w:tc>
          <w:p>
            <w:pPr>
              <w:pStyle w:val="Compact"/>
              <w:jc w:val="right"/>
            </w:pPr>
            <w:r>
              <w:t xml:space="preserve">5.600</w:t>
            </w:r>
          </w:p>
        </w:tc>
        <w:tc>
          <w:p>
            <w:pPr>
              <w:pStyle w:val="Compact"/>
              <w:jc w:val="right"/>
            </w:pPr>
            <w:r>
              <w:t xml:space="preserve">0.310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27</w:t>
            </w:r>
          </w:p>
        </w:tc>
        <w:tc>
          <w:p>
            <w:pPr>
              <w:pStyle w:val="Compact"/>
              <w:jc w:val="right"/>
            </w:pPr>
            <w:r>
              <w:t xml:space="preserve">3.300</w:t>
            </w:r>
          </w:p>
        </w:tc>
        <w:tc>
          <w:p>
            <w:pPr>
              <w:pStyle w:val="Compact"/>
              <w:jc w:val="right"/>
            </w:pPr>
            <w:r>
              <w:t xml:space="preserve">-3.590</w:t>
            </w:r>
          </w:p>
        </w:tc>
      </w:tr>
      <w:tr>
        <w:tc>
          <w:p/>
        </w:tc>
        <w:tc>
          <w:p>
            <w:pPr>
              <w:pStyle w:val="Compact"/>
              <w:jc w:val="left"/>
            </w:pPr>
            <w:r>
              <w:t xml:space="preserve">Secchi (m)</w:t>
            </w:r>
          </w:p>
        </w:tc>
        <w:tc>
          <w:p>
            <w:pPr>
              <w:pStyle w:val="Compact"/>
              <w:jc w:val="left"/>
            </w:pPr>
            <w:r>
              <w:t xml:space="preserve">47.47**</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right"/>
            </w:pPr>
            <w:r>
              <w:t xml:space="preserve">2.900</w:t>
            </w:r>
          </w:p>
        </w:tc>
        <w:tc>
          <w:p>
            <w:pPr>
              <w:pStyle w:val="Compact"/>
              <w:jc w:val="right"/>
            </w:pPr>
            <w:r>
              <w:t xml:space="preserve">0.000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28</w:t>
            </w:r>
          </w:p>
        </w:tc>
        <w:tc>
          <w:p>
            <w:pPr>
              <w:pStyle w:val="Compact"/>
              <w:jc w:val="right"/>
            </w:pPr>
            <w:r>
              <w:t xml:space="preserve">3.000</w:t>
            </w:r>
          </w:p>
        </w:tc>
        <w:tc>
          <w:p>
            <w:pPr>
              <w:pStyle w:val="Compact"/>
              <w:jc w:val="right"/>
            </w:pPr>
            <w:r>
              <w:t xml:space="preserve">-0.600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right"/>
            </w:pPr>
            <w:r>
              <w:t xml:space="preserve">2.000</w:t>
            </w:r>
          </w:p>
        </w:tc>
        <w:tc>
          <w:p>
            <w:pPr>
              <w:pStyle w:val="Compact"/>
              <w:jc w:val="right"/>
            </w:pPr>
            <w:r>
              <w:t xml:space="preserve">-0.900</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right"/>
            </w:pPr>
            <w:r>
              <w:t xml:space="preserve">2.000</w:t>
            </w:r>
          </w:p>
        </w:tc>
        <w:tc>
          <w:p>
            <w:pPr>
              <w:pStyle w:val="Compact"/>
              <w:jc w:val="right"/>
            </w:pPr>
            <w:r>
              <w:t xml:space="preserve">-0.700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15</w:t>
            </w:r>
          </w:p>
        </w:tc>
        <w:tc>
          <w:p>
            <w:pPr>
              <w:pStyle w:val="Compact"/>
              <w:jc w:val="right"/>
            </w:pPr>
            <w:r>
              <w:t xml:space="preserve">3.500</w:t>
            </w:r>
          </w:p>
        </w:tc>
        <w:tc>
          <w:p>
            <w:pPr>
              <w:pStyle w:val="Compact"/>
              <w:jc w:val="right"/>
            </w:pPr>
            <w:r>
              <w:t xml:space="preserve">0.400</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12</w:t>
            </w:r>
          </w:p>
        </w:tc>
        <w:tc>
          <w:p>
            <w:pPr>
              <w:pStyle w:val="Compact"/>
              <w:jc w:val="right"/>
            </w:pPr>
            <w:r>
              <w:t xml:space="preserve">3.600</w:t>
            </w:r>
          </w:p>
        </w:tc>
        <w:tc>
          <w:p>
            <w:pPr>
              <w:pStyle w:val="Compact"/>
              <w:jc w:val="right"/>
            </w:pPr>
            <w:r>
              <w:t xml:space="preserve">0.900</w:t>
            </w:r>
          </w:p>
        </w:tc>
      </w:tr>
      <w:tr>
        <w:tc>
          <w:p>
            <w:pPr>
              <w:pStyle w:val="Compact"/>
              <w:jc w:val="left"/>
            </w:pPr>
            <w:r>
              <w:t xml:space="preserve">2</w:t>
            </w:r>
          </w:p>
        </w:tc>
        <w:tc>
          <w:p>
            <w:pPr>
              <w:pStyle w:val="Compact"/>
              <w:jc w:val="left"/>
            </w:pPr>
            <w:r>
              <w:t xml:space="preserve">TN (mg/L)</w:t>
            </w:r>
          </w:p>
        </w:tc>
        <w:tc>
          <w:p>
            <w:pPr>
              <w:pStyle w:val="Compact"/>
              <w:jc w:val="left"/>
            </w:pPr>
            <w:r>
              <w:t xml:space="preserve">20.85**</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right"/>
            </w:pPr>
            <w:r>
              <w:t xml:space="preserve">0.390</w:t>
            </w:r>
          </w:p>
        </w:tc>
        <w:tc>
          <w:p>
            <w:pPr>
              <w:pStyle w:val="Compact"/>
              <w:jc w:val="right"/>
            </w:pPr>
            <w:r>
              <w:t xml:space="preserve">-0.002</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4</w:t>
            </w:r>
          </w:p>
        </w:tc>
        <w:tc>
          <w:p>
            <w:pPr>
              <w:pStyle w:val="Compact"/>
              <w:jc w:val="right"/>
            </w:pPr>
            <w:r>
              <w:t xml:space="preserve">0.390</w:t>
            </w:r>
          </w:p>
        </w:tc>
        <w:tc>
          <w:p>
            <w:pPr>
              <w:pStyle w:val="Compact"/>
              <w:jc w:val="right"/>
            </w:pPr>
            <w:r>
              <w:t xml:space="preserve">0.160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w:t>
            </w:r>
          </w:p>
        </w:tc>
        <w:tc>
          <w:p>
            <w:pPr>
              <w:pStyle w:val="Compact"/>
              <w:jc w:val="right"/>
            </w:pPr>
            <w:r>
              <w:t xml:space="preserve">0.500</w:t>
            </w:r>
          </w:p>
        </w:tc>
        <w:tc>
          <w:p>
            <w:pPr>
              <w:pStyle w:val="Compact"/>
              <w:jc w:val="right"/>
            </w:pPr>
            <w:r>
              <w:t xml:space="preserve">0.113</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right"/>
            </w:pPr>
            <w:r>
              <w:t xml:space="preserve">0.510</w:t>
            </w:r>
          </w:p>
        </w:tc>
        <w:tc>
          <w:p>
            <w:pPr>
              <w:pStyle w:val="Compact"/>
              <w:jc w:val="right"/>
            </w:pPr>
            <w:r>
              <w:t xml:space="preserve">0.097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right"/>
            </w:pPr>
            <w:r>
              <w:t xml:space="preserve">0.540</w:t>
            </w:r>
          </w:p>
        </w:tc>
        <w:tc>
          <w:p>
            <w:pPr>
              <w:pStyle w:val="Compact"/>
              <w:jc w:val="right"/>
            </w:pPr>
            <w:r>
              <w:t xml:space="preserve">0.174</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1</w:t>
            </w:r>
          </w:p>
        </w:tc>
        <w:tc>
          <w:p>
            <w:pPr>
              <w:pStyle w:val="Compact"/>
              <w:jc w:val="right"/>
            </w:pPr>
            <w:r>
              <w:t xml:space="preserve">0.570</w:t>
            </w:r>
          </w:p>
        </w:tc>
        <w:tc>
          <w:p>
            <w:pPr>
              <w:pStyle w:val="Compact"/>
              <w:jc w:val="right"/>
            </w:pPr>
            <w:r>
              <w:t xml:space="preserve">0.049</w:t>
            </w:r>
          </w:p>
        </w:tc>
      </w:tr>
      <w:tr>
        <w:tc>
          <w:p/>
        </w:tc>
        <w:tc>
          <w:p>
            <w:pPr>
              <w:pStyle w:val="Compact"/>
              <w:jc w:val="left"/>
            </w:pPr>
            <w:r>
              <w:t xml:space="preserve">Chl-a (ug/L)</w:t>
            </w:r>
          </w:p>
        </w:tc>
        <w:tc>
          <w:p>
            <w:pPr>
              <w:pStyle w:val="Compact"/>
              <w:jc w:val="left"/>
            </w:pPr>
            <w:r>
              <w:t xml:space="preserve">10.76*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right"/>
            </w:pPr>
            <w:r>
              <w:t xml:space="preserve">2.500</w:t>
            </w:r>
          </w:p>
        </w:tc>
        <w:tc>
          <w:p>
            <w:pPr>
              <w:pStyle w:val="Compact"/>
              <w:jc w:val="right"/>
            </w:pPr>
            <w:r>
              <w:t xml:space="preserve">-1.390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right"/>
            </w:pPr>
            <w:r>
              <w:t xml:space="preserve">2.150</w:t>
            </w:r>
          </w:p>
        </w:tc>
        <w:tc>
          <w:p>
            <w:pPr>
              <w:pStyle w:val="Compact"/>
              <w:jc w:val="right"/>
            </w:pPr>
            <w:r>
              <w:t xml:space="preserve">-2.590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4</w:t>
            </w:r>
          </w:p>
        </w:tc>
        <w:tc>
          <w:p>
            <w:pPr>
              <w:pStyle w:val="Compact"/>
              <w:jc w:val="right"/>
            </w:pPr>
            <w:r>
              <w:t xml:space="preserve">6.000</w:t>
            </w:r>
          </w:p>
        </w:tc>
        <w:tc>
          <w:p>
            <w:pPr>
              <w:pStyle w:val="Compact"/>
              <w:jc w:val="right"/>
            </w:pPr>
            <w:r>
              <w:t xml:space="preserve">-1.050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right"/>
            </w:pPr>
            <w:r>
              <w:t xml:space="preserve">7.200</w:t>
            </w:r>
          </w:p>
        </w:tc>
        <w:tc>
          <w:p>
            <w:pPr>
              <w:pStyle w:val="Compact"/>
              <w:jc w:val="right"/>
            </w:pPr>
            <w:r>
              <w:t xml:space="preserve">-0.940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5.200</w:t>
            </w:r>
          </w:p>
        </w:tc>
        <w:tc>
          <w:p>
            <w:pPr>
              <w:pStyle w:val="Compact"/>
              <w:jc w:val="right"/>
            </w:pPr>
            <w:r>
              <w:t xml:space="preserve">-4.940</w:t>
            </w:r>
          </w:p>
        </w:tc>
      </w:tr>
      <w:tr>
        <w:tc>
          <w:p/>
        </w:tc>
        <w:tc>
          <w:p>
            <w:pPr>
              <w:pStyle w:val="Compact"/>
              <w:jc w:val="left"/>
            </w:pPr>
            <w:r>
              <w:t xml:space="preserve">Secchi (m)</w:t>
            </w:r>
          </w:p>
        </w:tc>
        <w:tc>
          <w:p>
            <w:pPr>
              <w:pStyle w:val="Compact"/>
              <w:jc w:val="left"/>
            </w:pPr>
            <w:r>
              <w:t xml:space="preserve">3.82</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right"/>
            </w:pPr>
            <w:r>
              <w:t xml:space="preserve">2.000</w:t>
            </w:r>
          </w:p>
        </w:tc>
        <w:tc>
          <w:p>
            <w:pPr>
              <w:pStyle w:val="Compact"/>
              <w:jc w:val="right"/>
            </w:pPr>
            <w:r>
              <w:t xml:space="preserve">0.200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right"/>
            </w:pPr>
            <w:r>
              <w:t xml:space="preserve">2.000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right"/>
            </w:pPr>
            <w:r>
              <w:t xml:space="preserve">2.100</w:t>
            </w:r>
          </w:p>
        </w:tc>
        <w:tc>
          <w:p>
            <w:pPr>
              <w:pStyle w:val="Compact"/>
              <w:jc w:val="right"/>
            </w:pPr>
            <w:r>
              <w:t xml:space="preserve">0.700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right"/>
            </w:pPr>
            <w:r>
              <w:t xml:space="preserve">1.400</w:t>
            </w:r>
          </w:p>
        </w:tc>
        <w:tc>
          <w:p>
            <w:pPr>
              <w:pStyle w:val="Compact"/>
              <w:jc w:val="right"/>
            </w:pPr>
            <w:r>
              <w:t xml:space="preserve">-0.100</w:t>
            </w:r>
          </w:p>
        </w:tc>
      </w:tr>
      <w:tr>
        <w:tc>
          <w:p>
            <w:pPr>
              <w:pStyle w:val="Compact"/>
              <w:jc w:val="left"/>
            </w:pPr>
            <w:r>
              <w:t xml:space="preserve">3</w:t>
            </w:r>
          </w:p>
        </w:tc>
        <w:tc>
          <w:p>
            <w:pPr>
              <w:pStyle w:val="Compact"/>
              <w:jc w:val="left"/>
            </w:pPr>
            <w:r>
              <w:t xml:space="preserve">TN (mg/L)</w:t>
            </w:r>
          </w:p>
        </w:tc>
        <w:tc>
          <w:p>
            <w:pPr>
              <w:pStyle w:val="Compact"/>
              <w:jc w:val="left"/>
            </w:pPr>
            <w:r>
              <w:t xml:space="preserve">22.13**</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right"/>
            </w:pPr>
            <w:r>
              <w:t xml:space="preserve">0.330</w:t>
            </w:r>
          </w:p>
        </w:tc>
        <w:tc>
          <w:p>
            <w:pPr>
              <w:pStyle w:val="Compact"/>
              <w:jc w:val="right"/>
            </w:pPr>
            <w:r>
              <w:t xml:space="preserve">-0.010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right"/>
            </w:pPr>
            <w:r>
              <w:t xml:space="preserve">0.335</w:t>
            </w:r>
          </w:p>
        </w:tc>
        <w:tc>
          <w:p>
            <w:pPr>
              <w:pStyle w:val="Compact"/>
              <w:jc w:val="right"/>
            </w:pPr>
            <w:r>
              <w:t xml:space="preserve">0.079</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10</w:t>
            </w:r>
          </w:p>
        </w:tc>
        <w:tc>
          <w:p>
            <w:pPr>
              <w:pStyle w:val="Compact"/>
              <w:jc w:val="right"/>
            </w:pPr>
            <w:r>
              <w:t xml:space="preserve">0.350</w:t>
            </w:r>
          </w:p>
        </w:tc>
        <w:tc>
          <w:p>
            <w:pPr>
              <w:pStyle w:val="Compact"/>
              <w:jc w:val="right"/>
            </w:pPr>
            <w:r>
              <w:t xml:space="preserve">-0.087</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right"/>
            </w:pPr>
            <w:r>
              <w:t xml:space="preserve">0.365</w:t>
            </w:r>
          </w:p>
        </w:tc>
        <w:tc>
          <w:p>
            <w:pPr>
              <w:pStyle w:val="Compact"/>
              <w:jc w:val="right"/>
            </w:pPr>
            <w:r>
              <w:t xml:space="preserve">0.043</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4</w:t>
            </w:r>
          </w:p>
        </w:tc>
        <w:tc>
          <w:p>
            <w:pPr>
              <w:pStyle w:val="Compact"/>
              <w:jc w:val="right"/>
            </w:pPr>
            <w:r>
              <w:t xml:space="preserve">0.435</w:t>
            </w:r>
          </w:p>
        </w:tc>
        <w:tc>
          <w:p>
            <w:pPr>
              <w:pStyle w:val="Compact"/>
              <w:jc w:val="right"/>
            </w:pPr>
            <w:r>
              <w:t xml:space="preserve">0.126</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7</w:t>
            </w:r>
          </w:p>
        </w:tc>
        <w:tc>
          <w:p>
            <w:pPr>
              <w:pStyle w:val="Compact"/>
              <w:jc w:val="right"/>
            </w:pPr>
            <w:r>
              <w:t xml:space="preserve">0.380</w:t>
            </w:r>
          </w:p>
        </w:tc>
        <w:tc>
          <w:p>
            <w:pPr>
              <w:pStyle w:val="Compact"/>
              <w:jc w:val="right"/>
            </w:pPr>
            <w:r>
              <w:t xml:space="preserve">0.023</w:t>
            </w:r>
          </w:p>
        </w:tc>
      </w:tr>
      <w:tr>
        <w:tc>
          <w:p/>
        </w:tc>
        <w:tc>
          <w:p>
            <w:pPr>
              <w:pStyle w:val="Compact"/>
              <w:jc w:val="left"/>
            </w:pPr>
            <w:r>
              <w:t xml:space="preserve">Chl-a (ug/L)</w:t>
            </w:r>
          </w:p>
        </w:tc>
        <w:tc>
          <w:p>
            <w:pPr>
              <w:pStyle w:val="Compact"/>
              <w:jc w:val="left"/>
            </w:pPr>
            <w:r>
              <w:t xml:space="preserve">33.62**</w:t>
            </w:r>
          </w:p>
        </w:tc>
        <w:tc>
          <w:p>
            <w:pPr>
              <w:pStyle w:val="Compact"/>
              <w:jc w:val="left"/>
            </w:pPr>
            <w:r>
              <w:t xml:space="preserve">ab</w:t>
            </w:r>
          </w:p>
        </w:tc>
        <w:tc>
          <w:p>
            <w:pPr>
              <w:pStyle w:val="Compact"/>
              <w:jc w:val="left"/>
            </w:pPr>
            <w:r>
              <w:t xml:space="preserve">Apr</w:t>
            </w:r>
          </w:p>
        </w:tc>
        <w:tc>
          <w:p>
            <w:pPr>
              <w:pStyle w:val="Compact"/>
              <w:jc w:val="right"/>
            </w:pPr>
            <w:r>
              <w:t xml:space="preserve">48</w:t>
            </w:r>
          </w:p>
        </w:tc>
        <w:tc>
          <w:p>
            <w:pPr>
              <w:pStyle w:val="Compact"/>
              <w:jc w:val="right"/>
            </w:pPr>
            <w:r>
              <w:t xml:space="preserve">1.900</w:t>
            </w:r>
          </w:p>
        </w:tc>
        <w:tc>
          <w:p>
            <w:pPr>
              <w:pStyle w:val="Compact"/>
              <w:jc w:val="right"/>
            </w:pPr>
            <w:r>
              <w:t xml:space="preserve">-0.900</w:t>
            </w:r>
          </w:p>
        </w:tc>
      </w:tr>
      <w:tr>
        <w:tc>
          <w:p/>
        </w:tc>
        <w:tc>
          <w:p/>
        </w:tc>
        <w:tc>
          <w:p/>
        </w:tc>
        <w:tc>
          <w:p>
            <w:pPr>
              <w:pStyle w:val="Compact"/>
              <w:jc w:val="left"/>
            </w:pPr>
            <w:r>
              <w:t xml:space="preserve">ac</w:t>
            </w:r>
          </w:p>
        </w:tc>
        <w:tc>
          <w:p>
            <w:pPr>
              <w:pStyle w:val="Compact"/>
              <w:jc w:val="left"/>
            </w:pPr>
            <w:r>
              <w:t xml:space="preserve">May</w:t>
            </w:r>
          </w:p>
        </w:tc>
        <w:tc>
          <w:p>
            <w:pPr>
              <w:pStyle w:val="Compact"/>
              <w:jc w:val="right"/>
            </w:pPr>
            <w:r>
              <w:t xml:space="preserve">16</w:t>
            </w:r>
          </w:p>
        </w:tc>
        <w:tc>
          <w:p>
            <w:pPr>
              <w:pStyle w:val="Compact"/>
              <w:jc w:val="right"/>
            </w:pPr>
            <w:r>
              <w:t xml:space="preserve">2.350</w:t>
            </w:r>
          </w:p>
        </w:tc>
        <w:tc>
          <w:p>
            <w:pPr>
              <w:pStyle w:val="Compact"/>
              <w:jc w:val="right"/>
            </w:pPr>
            <w:r>
              <w:t xml:space="preserve">-0.450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right"/>
            </w:pPr>
            <w:r>
              <w:t xml:space="preserve">2.800</w:t>
            </w:r>
          </w:p>
        </w:tc>
        <w:tc>
          <w:p>
            <w:pPr>
              <w:pStyle w:val="Compact"/>
              <w:jc w:val="right"/>
            </w:pPr>
            <w:r>
              <w:t xml:space="preserve">-1.580</w:t>
            </w:r>
          </w:p>
        </w:tc>
      </w:tr>
      <w:tr>
        <w:tc>
          <w:p/>
        </w:tc>
        <w:tc>
          <w:p/>
        </w:tc>
        <w:tc>
          <w:p/>
        </w:tc>
        <w:tc>
          <w:p>
            <w:pPr>
              <w:pStyle w:val="Compact"/>
              <w:jc w:val="left"/>
            </w:pPr>
            <w:r>
              <w:t xml:space="preserve">cd</w:t>
            </w:r>
          </w:p>
        </w:tc>
        <w:tc>
          <w:p>
            <w:pPr>
              <w:pStyle w:val="Compact"/>
              <w:jc w:val="left"/>
            </w:pPr>
            <w:r>
              <w:t xml:space="preserve">Jul</w:t>
            </w:r>
          </w:p>
        </w:tc>
        <w:tc>
          <w:p>
            <w:pPr>
              <w:pStyle w:val="Compact"/>
              <w:jc w:val="right"/>
            </w:pPr>
            <w:r>
              <w:t xml:space="preserve">8</w:t>
            </w:r>
          </w:p>
        </w:tc>
        <w:tc>
          <w:p>
            <w:pPr>
              <w:pStyle w:val="Compact"/>
              <w:jc w:val="right"/>
            </w:pPr>
            <w:r>
              <w:t xml:space="preserve">4.150</w:t>
            </w:r>
          </w:p>
        </w:tc>
        <w:tc>
          <w:p>
            <w:pPr>
              <w:pStyle w:val="Compact"/>
              <w:jc w:val="right"/>
            </w:pPr>
            <w:r>
              <w:t xml:space="preserve">0.770</w:t>
            </w:r>
          </w:p>
        </w:tc>
      </w:tr>
      <w:tr>
        <w:tc>
          <w:p/>
        </w:tc>
        <w:tc>
          <w:p/>
        </w:tc>
        <w:tc>
          <w:p/>
        </w:tc>
        <w:tc>
          <w:p>
            <w:pPr>
              <w:pStyle w:val="Compact"/>
              <w:jc w:val="left"/>
            </w:pPr>
            <w:r>
              <w:t xml:space="preserve">bd</w:t>
            </w:r>
          </w:p>
        </w:tc>
        <w:tc>
          <w:p>
            <w:pPr>
              <w:pStyle w:val="Compact"/>
              <w:jc w:val="left"/>
            </w:pPr>
            <w:r>
              <w:t xml:space="preserve">Aug</w:t>
            </w:r>
          </w:p>
        </w:tc>
        <w:tc>
          <w:p>
            <w:pPr>
              <w:pStyle w:val="Compact"/>
              <w:jc w:val="right"/>
            </w:pPr>
            <w:r>
              <w:t xml:space="preserve">4</w:t>
            </w:r>
          </w:p>
        </w:tc>
        <w:tc>
          <w:p>
            <w:pPr>
              <w:pStyle w:val="Compact"/>
              <w:jc w:val="right"/>
            </w:pPr>
            <w:r>
              <w:t xml:space="preserve">3.200</w:t>
            </w:r>
          </w:p>
        </w:tc>
        <w:tc>
          <w:p>
            <w:pPr>
              <w:pStyle w:val="Compact"/>
              <w:jc w:val="right"/>
            </w:pPr>
            <w:r>
              <w:t xml:space="preserve">-3.100</w:t>
            </w:r>
          </w:p>
        </w:tc>
      </w:tr>
      <w:tr>
        <w:tc>
          <w:p/>
        </w:tc>
        <w:tc>
          <w:p/>
        </w:tc>
        <w:tc>
          <w:p/>
        </w:tc>
        <w:tc>
          <w:p>
            <w:pPr>
              <w:pStyle w:val="Compact"/>
              <w:jc w:val="left"/>
            </w:pPr>
            <w:r>
              <w:t xml:space="preserve">abcd</w:t>
            </w:r>
          </w:p>
        </w:tc>
        <w:tc>
          <w:p>
            <w:pPr>
              <w:pStyle w:val="Compact"/>
              <w:jc w:val="left"/>
            </w:pPr>
            <w:r>
              <w:t xml:space="preserve">Sep</w:t>
            </w:r>
          </w:p>
        </w:tc>
        <w:tc>
          <w:p>
            <w:pPr>
              <w:pStyle w:val="Compact"/>
              <w:jc w:val="right"/>
            </w:pPr>
            <w:r>
              <w:t xml:space="preserve">8</w:t>
            </w:r>
          </w:p>
        </w:tc>
        <w:tc>
          <w:p>
            <w:pPr>
              <w:pStyle w:val="Compact"/>
              <w:jc w:val="right"/>
            </w:pPr>
            <w:r>
              <w:t xml:space="preserve">3.600</w:t>
            </w:r>
          </w:p>
        </w:tc>
        <w:tc>
          <w:p>
            <w:pPr>
              <w:pStyle w:val="Compact"/>
              <w:jc w:val="right"/>
            </w:pPr>
            <w:r>
              <w:t xml:space="preserve">-1.500</w:t>
            </w:r>
          </w:p>
        </w:tc>
      </w:tr>
      <w:tr>
        <w:tc>
          <w:p/>
        </w:tc>
        <w:tc>
          <w:p>
            <w:pPr>
              <w:pStyle w:val="Compact"/>
              <w:jc w:val="left"/>
            </w:pPr>
            <w:r>
              <w:t xml:space="preserve">Secchi (m)</w:t>
            </w:r>
          </w:p>
        </w:tc>
        <w:tc>
          <w:p>
            <w:pPr>
              <w:pStyle w:val="Compact"/>
              <w:jc w:val="left"/>
            </w:pPr>
            <w:r>
              <w:t xml:space="preserve">8.77</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right"/>
            </w:pPr>
            <w:r>
              <w:t xml:space="preserve">2.700</w:t>
            </w:r>
          </w:p>
        </w:tc>
        <w:tc>
          <w:p>
            <w:pPr>
              <w:pStyle w:val="Compact"/>
              <w:jc w:val="right"/>
            </w:pPr>
            <w:r>
              <w:t xml:space="preserve">0.000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right"/>
            </w:pPr>
            <w:r>
              <w:t xml:space="preserve">2.200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right"/>
            </w:pPr>
            <w:r>
              <w:t xml:space="preserve">2.200</w:t>
            </w:r>
          </w:p>
        </w:tc>
        <w:tc>
          <w:p>
            <w:pPr>
              <w:pStyle w:val="Compact"/>
              <w:jc w:val="right"/>
            </w:pPr>
            <w:r>
              <w:t xml:space="preserve">-0.400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right"/>
            </w:pPr>
            <w:r>
              <w:t xml:space="preserve">2.200</w:t>
            </w:r>
          </w:p>
        </w:tc>
        <w:tc>
          <w:p>
            <w:pPr>
              <w:pStyle w:val="Compact"/>
              <w:jc w:val="right"/>
            </w:pPr>
            <w:r>
              <w:t xml:space="preserve">-0.100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2.000</w:t>
            </w:r>
          </w:p>
        </w:tc>
        <w:tc>
          <w:p>
            <w:pPr>
              <w:pStyle w:val="Compact"/>
              <w:jc w:val="right"/>
            </w:pPr>
            <w:r>
              <w:t xml:space="preserve">-0.800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right"/>
            </w:pPr>
            <w:r>
              <w:t xml:space="preserve">2.200</w:t>
            </w:r>
          </w:p>
        </w:tc>
        <w:tc>
          <w:p>
            <w:pPr>
              <w:pStyle w:val="Compact"/>
              <w:jc w:val="right"/>
            </w:pPr>
            <w:r>
              <w:t xml:space="preserve">0.000</w:t>
            </w:r>
          </w:p>
        </w:tc>
      </w:tr>
    </w:tbl>
    <w:bookmarkEnd w:id="74"/>
    <w:bookmarkStart w:id="188" w:name="references"/>
    <w:p>
      <w:pPr>
        <w:pStyle w:val="Heading1"/>
      </w:pPr>
      <w:r>
        <w:t xml:space="preserve">References</w:t>
      </w:r>
    </w:p>
    <w:bookmarkStart w:id="187" w:name="refs"/>
    <w:bookmarkStart w:id="76"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5">
        <w:r>
          <w:rPr>
            <w:rStyle w:val="Hyperlink"/>
          </w:rPr>
          <w:t xml:space="preserve">https://doi.org/10.1016/j.hal.2006.08.004</w:t>
        </w:r>
      </w:hyperlink>
    </w:p>
    <w:bookmarkEnd w:id="76"/>
    <w:bookmarkStart w:id="78"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7">
        <w:r>
          <w:rPr>
            <w:rStyle w:val="Hyperlink"/>
          </w:rPr>
          <w:t xml:space="preserve">https://doi.org/10.1016/j.marpolbul.2004.10.016</w:t>
        </w:r>
      </w:hyperlink>
    </w:p>
    <w:bookmarkEnd w:id="78"/>
    <w:bookmarkStart w:id="80" w:name="ref-Bates76"/>
    <w:p>
      <w:pPr>
        <w:pStyle w:val="Bibliography"/>
      </w:pPr>
      <w:r>
        <w:t xml:space="preserve">Bates, S.S., 1976. Effects of light and ammonium on nitrate uptake by two species of estuarine phytoplankton. Limnology and oceanography 21, 212–218.</w:t>
      </w:r>
      <w:r>
        <w:t xml:space="preserve"> </w:t>
      </w:r>
      <w:hyperlink r:id="rId79">
        <w:r>
          <w:rPr>
            <w:rStyle w:val="Hyperlink"/>
          </w:rPr>
          <w:t xml:space="preserve">https://doi.org/10.4319/lo.1976.21.2.0212</w:t>
        </w:r>
      </w:hyperlink>
    </w:p>
    <w:bookmarkEnd w:id="80"/>
    <w:bookmarkStart w:id="82"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1">
        <w:r>
          <w:rPr>
            <w:rStyle w:val="Hyperlink"/>
          </w:rPr>
          <w:t xml:space="preserve">https://doi.org/10.18785/gcr.2901.02</w:t>
        </w:r>
      </w:hyperlink>
    </w:p>
    <w:bookmarkEnd w:id="82"/>
    <w:bookmarkStart w:id="84"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3">
        <w:r>
          <w:rPr>
            <w:rStyle w:val="Hyperlink"/>
          </w:rPr>
          <w:t xml:space="preserve">https://doi.org/10.1007/s12237-017-0287-1</w:t>
        </w:r>
      </w:hyperlink>
    </w:p>
    <w:bookmarkEnd w:id="84"/>
    <w:bookmarkStart w:id="85" w:name="ref-Beck21"/>
    <w:p>
      <w:pPr>
        <w:pStyle w:val="Bibliography"/>
      </w:pPr>
      <w:r>
        <w:t xml:space="preserve">Beck, M.W., Schrandt, M., Wessel, M., Sherwood, E., Raulerson, G., Best, B., 2021. Tbeptools: Data and indicators for the tampa bay estuary program.</w:t>
      </w:r>
    </w:p>
    <w:bookmarkEnd w:id="85"/>
    <w:bookmarkStart w:id="86" w:name="ref-Bryan20"/>
    <w:p>
      <w:pPr>
        <w:pStyle w:val="Bibliography"/>
      </w:pPr>
      <w:r>
        <w:t xml:space="preserve">Bryan, J., 2020. googlesheets4: Access google sheets using the sheets API V4.</w:t>
      </w:r>
    </w:p>
    <w:bookmarkEnd w:id="86"/>
    <w:bookmarkStart w:id="87" w:name="ref-Burke17"/>
    <w:p>
      <w:pPr>
        <w:pStyle w:val="Bibliography"/>
      </w:pPr>
      <w:r>
        <w:t xml:space="preserve">Burke, M., 2017.</w:t>
      </w:r>
      <w:r>
        <w:t xml:space="preserve"> </w:t>
      </w:r>
      <w:r>
        <w:t xml:space="preserve">CCMP Climate Change Vulnerability Assessment</w:t>
      </w:r>
      <w:r>
        <w:t xml:space="preserve"> </w:t>
      </w:r>
      <w:r>
        <w:t xml:space="preserve">(No. 10b-17). Tampa Bay Estuary Program, St. Petersburg, Florida.</w:t>
      </w:r>
    </w:p>
    <w:bookmarkEnd w:id="87"/>
    <w:bookmarkStart w:id="89"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8">
        <w:r>
          <w:rPr>
            <w:rStyle w:val="Hyperlink"/>
          </w:rPr>
          <w:t xml:space="preserve">https://doi.org/10.1016/S0265-931X(00)00164-8</w:t>
        </w:r>
      </w:hyperlink>
    </w:p>
    <w:bookmarkEnd w:id="89"/>
    <w:bookmarkStart w:id="91"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0">
        <w:r>
          <w:rPr>
            <w:rStyle w:val="Hyperlink"/>
          </w:rPr>
          <w:t xml:space="preserve">https://doi.org/10.1007/s12237-013-9701-5</w:t>
        </w:r>
      </w:hyperlink>
    </w:p>
    <w:bookmarkEnd w:id="91"/>
    <w:bookmarkStart w:id="93"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2">
        <w:r>
          <w:rPr>
            <w:rStyle w:val="Hyperlink"/>
          </w:rPr>
          <w:t xml:space="preserve">https://doi.org/10.4031/MTSJ.52.3.6</w:t>
        </w:r>
      </w:hyperlink>
    </w:p>
    <w:bookmarkEnd w:id="93"/>
    <w:bookmarkStart w:id="95" w:name="ref-Chen19"/>
    <w:p>
      <w:pPr>
        <w:pStyle w:val="Bibliography"/>
      </w:pPr>
      <w:r>
        <w:t xml:space="preserve">Chen, J., Weisberg, R.H., Liu, Y., Zheng, L., Zhu, J., 2019. On the momentum balance of tampa bay. Journal of Geophysical Research: Oceans 124, 4492–4510.</w:t>
      </w:r>
      <w:r>
        <w:t xml:space="preserve"> </w:t>
      </w:r>
      <w:hyperlink r:id="rId94">
        <w:r>
          <w:rPr>
            <w:rStyle w:val="Hyperlink"/>
          </w:rPr>
          <w:t xml:space="preserve">https://doi.org/10.1029/2018JC014890</w:t>
        </w:r>
      </w:hyperlink>
    </w:p>
    <w:bookmarkEnd w:id="95"/>
    <w:bookmarkStart w:id="97"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6">
        <w:r>
          <w:rPr>
            <w:rStyle w:val="Hyperlink"/>
          </w:rPr>
          <w:t xml:space="preserve">https://doi.org/10.1890/1051-0761(2006)016[1405:UOGMAI]2.0.CO;2</w:t>
        </w:r>
      </w:hyperlink>
    </w:p>
    <w:bookmarkEnd w:id="97"/>
    <w:bookmarkStart w:id="98" w:name="ref-DAgostino20"/>
    <w:p>
      <w:pPr>
        <w:pStyle w:val="Bibliography"/>
      </w:pPr>
      <w:r>
        <w:t xml:space="preserve">D’Agostino McGowan, L., Bryan, J., 2020. Googledrive: An interface to google drive.</w:t>
      </w:r>
    </w:p>
    <w:bookmarkEnd w:id="98"/>
    <w:bookmarkStart w:id="99"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9"/>
    <w:bookmarkStart w:id="100"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0"/>
    <w:bookmarkStart w:id="102"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1">
        <w:r>
          <w:rPr>
            <w:rStyle w:val="Hyperlink"/>
          </w:rPr>
          <w:t xml:space="preserve">https://www.jstor.org/stable/24322132</w:t>
        </w:r>
      </w:hyperlink>
    </w:p>
    <w:bookmarkEnd w:id="102"/>
    <w:bookmarkStart w:id="104"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3">
        <w:r>
          <w:rPr>
            <w:rStyle w:val="Hyperlink"/>
          </w:rPr>
          <w:t xml:space="preserve">https://doi.org/10.1007/s00027-011-0180-0</w:t>
        </w:r>
      </w:hyperlink>
    </w:p>
    <w:bookmarkEnd w:id="104"/>
    <w:bookmarkStart w:id="106"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5">
        <w:r>
          <w:rPr>
            <w:rStyle w:val="Hyperlink"/>
          </w:rPr>
          <w:t xml:space="preserve">https://doi.org/10.1016/j.marpolbul.2015.10.047</w:t>
        </w:r>
      </w:hyperlink>
    </w:p>
    <w:bookmarkEnd w:id="106"/>
    <w:bookmarkStart w:id="107"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7"/>
    <w:bookmarkStart w:id="109"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8">
        <w:r>
          <w:rPr>
            <w:rStyle w:val="Hyperlink"/>
          </w:rPr>
          <w:t xml:space="preserve">https://doi.org/10.1007/s12237-010-9350-x</w:t>
        </w:r>
      </w:hyperlink>
    </w:p>
    <w:bookmarkEnd w:id="109"/>
    <w:bookmarkStart w:id="111"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0">
        <w:r>
          <w:rPr>
            <w:rStyle w:val="Hyperlink"/>
          </w:rPr>
          <w:t xml:space="preserve">https://doi.org/10.1016/j.marpolbul.2010.11.017</w:t>
        </w:r>
      </w:hyperlink>
    </w:p>
    <w:bookmarkEnd w:id="111"/>
    <w:bookmarkStart w:id="113"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2">
        <w:r>
          <w:rPr>
            <w:rStyle w:val="Hyperlink"/>
          </w:rPr>
          <w:t xml:space="preserve">https://doi.org/10.3389/fmars.2021.605858</w:t>
        </w:r>
      </w:hyperlink>
    </w:p>
    <w:bookmarkEnd w:id="113"/>
    <w:bookmarkStart w:id="115"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4">
        <w:r>
          <w:rPr>
            <w:rStyle w:val="Hyperlink"/>
          </w:rPr>
          <w:t xml:space="preserve">https://doi.org/10.1007/s00267-005-0079-4</w:t>
        </w:r>
      </w:hyperlink>
    </w:p>
    <w:bookmarkEnd w:id="115"/>
    <w:bookmarkStart w:id="116"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6"/>
    <w:bookmarkStart w:id="118"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7">
        <w:r>
          <w:rPr>
            <w:rStyle w:val="Hyperlink"/>
          </w:rPr>
          <w:t xml:space="preserve">https://doi.org/10.1016/j.ecss.2014.10.003</w:t>
        </w:r>
      </w:hyperlink>
    </w:p>
    <w:bookmarkEnd w:id="118"/>
    <w:bookmarkStart w:id="119" w:name="ref-Helsel05"/>
    <w:p>
      <w:pPr>
        <w:pStyle w:val="Bibliography"/>
      </w:pPr>
      <w:r>
        <w:t xml:space="preserve">Helsel, D.R., 2005. Nondectects and data analysis: Statistics for censored environmental data. John Wiley &amp; Sons, New Jersey, USA.</w:t>
      </w:r>
    </w:p>
    <w:bookmarkEnd w:id="119"/>
    <w:bookmarkStart w:id="120"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0"/>
    <w:bookmarkStart w:id="121" w:name="ref-Hollander13"/>
    <w:p>
      <w:pPr>
        <w:pStyle w:val="Bibliography"/>
      </w:pPr>
      <w:r>
        <w:t xml:space="preserve">Hollander, M., Wolfe, D.A., Chicken, E., 2013. Nonparametric statistical methods. John Wiley &amp; Sons.</w:t>
      </w:r>
    </w:p>
    <w:bookmarkEnd w:id="121"/>
    <w:bookmarkStart w:id="122" w:name="ref-Holm79"/>
    <w:p>
      <w:pPr>
        <w:pStyle w:val="Bibliography"/>
      </w:pPr>
      <w:r>
        <w:t xml:space="preserve">Holm, S., 1979. A simple sequentially rejective multiple test procedure. Scandinavian journal of statistics 65–70.</w:t>
      </w:r>
    </w:p>
    <w:bookmarkEnd w:id="122"/>
    <w:bookmarkStart w:id="124"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3">
        <w:r>
          <w:rPr>
            <w:rStyle w:val="Hyperlink"/>
          </w:rPr>
          <w:t xml:space="preserve">https://doi.org/10.4319/lo.2006.51.1_part_2.0364</w:t>
        </w:r>
      </w:hyperlink>
    </w:p>
    <w:bookmarkEnd w:id="124"/>
    <w:bookmarkStart w:id="126" w:name="ref-Hudson11"/>
    <w:p>
      <w:pPr>
        <w:pStyle w:val="Bibliography"/>
      </w:pPr>
      <w:r>
        <w:t xml:space="preserve">Hudson-Edwards, K.A., Jamieson, H.E., Lottermoser, B.G., 2011. Mine wastes: Past, present, future. Elements 7, 375–380.</w:t>
      </w:r>
      <w:r>
        <w:t xml:space="preserve"> </w:t>
      </w:r>
      <w:hyperlink r:id="rId125">
        <w:r>
          <w:rPr>
            <w:rStyle w:val="Hyperlink"/>
          </w:rPr>
          <w:t xml:space="preserve">https://doi.org/10.2113/gselements.7.6.375</w:t>
        </w:r>
      </w:hyperlink>
    </w:p>
    <w:bookmarkEnd w:id="126"/>
    <w:bookmarkStart w:id="127"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7"/>
    <w:bookmarkStart w:id="128" w:name="ref-Janicki17"/>
    <w:p>
      <w:pPr>
        <w:pStyle w:val="Bibliography"/>
      </w:pPr>
      <w:r>
        <w:t xml:space="preserve">Janicki Environmental, Inc., 2017a.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8"/>
    <w:bookmarkStart w:id="129" w:name="ref-tbep0417"/>
    <w:p>
      <w:pPr>
        <w:pStyle w:val="Bibliography"/>
      </w:pPr>
      <w:r>
        <w:t xml:space="preserve">Janicki Environmental, Inc., 2017b.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9"/>
    <w:bookmarkStart w:id="130" w:name="ref-Janicki08"/>
    <w:p>
      <w:pPr>
        <w:pStyle w:val="Bibliography"/>
      </w:pPr>
      <w:r>
        <w:t xml:space="preserve">Janicki Environmental, Inc., 2008. Estimation of nitrogen loading from residential irrigation. Tampa Bay Estuary Program, St. Petersburg, Florida.</w:t>
      </w:r>
    </w:p>
    <w:bookmarkEnd w:id="130"/>
    <w:bookmarkStart w:id="131"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1"/>
    <w:bookmarkStart w:id="132"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2"/>
    <w:bookmarkStart w:id="133" w:name="ref-Lee20"/>
    <w:p>
      <w:pPr>
        <w:pStyle w:val="Bibliography"/>
      </w:pPr>
      <w:r>
        <w:t xml:space="preserve">Lee, L., 2020. NADA: Nondetects and data analysis for environmental data.</w:t>
      </w:r>
    </w:p>
    <w:bookmarkEnd w:id="133"/>
    <w:bookmarkStart w:id="135"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4">
        <w:r>
          <w:rPr>
            <w:rStyle w:val="Hyperlink"/>
          </w:rPr>
          <w:t xml:space="preserve">https://doi.org/10.1002/2016JC011938</w:t>
        </w:r>
      </w:hyperlink>
    </w:p>
    <w:bookmarkEnd w:id="135"/>
    <w:bookmarkStart w:id="137"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6">
        <w:r>
          <w:rPr>
            <w:rStyle w:val="Hyperlink"/>
          </w:rPr>
          <w:t xml:space="preserve">https://doi.org/10.1016/j.ocecoaman.2005.07.002</w:t>
        </w:r>
      </w:hyperlink>
    </w:p>
    <w:bookmarkEnd w:id="137"/>
    <w:bookmarkStart w:id="139"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8">
        <w:r>
          <w:rPr>
            <w:rStyle w:val="Hyperlink"/>
          </w:rPr>
          <w:t xml:space="preserve">https://doi.org/10.1016/j.hal.2020.101900</w:t>
        </w:r>
      </w:hyperlink>
    </w:p>
    <w:bookmarkEnd w:id="139"/>
    <w:bookmarkStart w:id="141"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0">
        <w:r>
          <w:rPr>
            <w:rStyle w:val="Hyperlink"/>
          </w:rPr>
          <w:t xml:space="preserve">https://doi.org/10.1016/j.envsoft.2019.03.027</w:t>
        </w:r>
      </w:hyperlink>
    </w:p>
    <w:bookmarkEnd w:id="141"/>
    <w:bookmarkStart w:id="143" w:name="ref-Nixon95"/>
    <w:p>
      <w:pPr>
        <w:pStyle w:val="Bibliography"/>
      </w:pPr>
      <w:r>
        <w:t xml:space="preserve">Nixon, S.W., 1995. Coastal marine eutrophication: A definition, social causes, and future concerns. Ophelia 41, 199–219.</w:t>
      </w:r>
      <w:r>
        <w:t xml:space="preserve"> </w:t>
      </w:r>
      <w:hyperlink r:id="rId142">
        <w:r>
          <w:rPr>
            <w:rStyle w:val="Hyperlink"/>
          </w:rPr>
          <w:t xml:space="preserve">https://doi.org/10.1080/00785236.1995.10422044</w:t>
        </w:r>
      </w:hyperlink>
    </w:p>
    <w:bookmarkEnd w:id="143"/>
    <w:bookmarkStart w:id="144"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4"/>
    <w:bookmarkStart w:id="146"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5">
        <w:r>
          <w:rPr>
            <w:rStyle w:val="Hyperlink"/>
          </w:rPr>
          <w:t xml:space="preserve">https://doi.org/10.32614/RJ-2018-009</w:t>
        </w:r>
      </w:hyperlink>
    </w:p>
    <w:bookmarkEnd w:id="146"/>
    <w:bookmarkStart w:id="148"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7">
        <w:r>
          <w:rPr>
            <w:rStyle w:val="Hyperlink"/>
          </w:rPr>
          <w:t xml:space="preserve">https://doi.org/10.1016/j.scitotenv.2016.02.070</w:t>
        </w:r>
      </w:hyperlink>
    </w:p>
    <w:bookmarkEnd w:id="148"/>
    <w:bookmarkStart w:id="150"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9">
        <w:r>
          <w:rPr>
            <w:rStyle w:val="Hyperlink"/>
          </w:rPr>
          <w:t xml:space="preserve">https://doi.org/10.1016/j.apgeochem.2010.02.003</w:t>
        </w:r>
      </w:hyperlink>
    </w:p>
    <w:bookmarkEnd w:id="150"/>
    <w:bookmarkStart w:id="152" w:name="ref-Poor13"/>
    <w:p>
      <w:pPr>
        <w:pStyle w:val="Bibliography"/>
      </w:pPr>
      <w:r>
        <w:t xml:space="preserve">Poor, N., Cross, L., Dennis, R., 2013.</w:t>
      </w:r>
      <w:r>
        <w:t xml:space="preserve"> </w:t>
      </w:r>
      <w:r>
        <w:t xml:space="preserve">Lessons learned from the Bay Region Atmospheric Chemistry Experiment (BRACE) and implications for nitrogen management of Tampa Bay</w:t>
      </w:r>
      <w:r>
        <w:t xml:space="preserve">. Atmospheric Environment 70, 75–83.</w:t>
      </w:r>
      <w:r>
        <w:t xml:space="preserve"> </w:t>
      </w:r>
      <w:hyperlink r:id="rId151">
        <w:r>
          <w:rPr>
            <w:rStyle w:val="Hyperlink"/>
          </w:rPr>
          <w:t xml:space="preserve">https://doi.org/10.1016/j.atmosenv.2012.12.030</w:t>
        </w:r>
      </w:hyperlink>
    </w:p>
    <w:bookmarkEnd w:id="152"/>
    <w:bookmarkStart w:id="153" w:name="ref-RCT20"/>
    <w:p>
      <w:pPr>
        <w:pStyle w:val="Bibliography"/>
      </w:pPr>
      <w:r>
        <w:t xml:space="preserve">R Core Team, 2020. R: A language and environment for statistical computing, v4.0.3. R Foundation for Statistical Computing, Vienna, Austria.</w:t>
      </w:r>
    </w:p>
    <w:bookmarkEnd w:id="153"/>
    <w:bookmarkStart w:id="155"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4">
        <w:r>
          <w:rPr>
            <w:rStyle w:val="Hyperlink"/>
          </w:rPr>
          <w:t xml:space="preserve">https://doi.org/10.1007/s11270-013-1742-7</w:t>
        </w:r>
      </w:hyperlink>
    </w:p>
    <w:bookmarkEnd w:id="155"/>
    <w:bookmarkStart w:id="157"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6">
        <w:r>
          <w:rPr>
            <w:rStyle w:val="Hyperlink"/>
          </w:rPr>
          <w:t xml:space="preserve">https://doi.org/10.1016/j.ecolind.2020.107310</w:t>
        </w:r>
      </w:hyperlink>
    </w:p>
    <w:bookmarkEnd w:id="157"/>
    <w:bookmarkStart w:id="159" w:name="ref-Sherwood14"/>
    <w:p>
      <w:pPr>
        <w:pStyle w:val="Bibliography"/>
      </w:pPr>
      <w:r>
        <w:t xml:space="preserve">Sherwood, E., Greening, H., 2014. Potential impacts and management implications of climate change on</w:t>
      </w:r>
      <w:r>
        <w:t xml:space="preserve"> </w:t>
      </w:r>
      <w:r>
        <w:t xml:space="preserve">T</w:t>
      </w:r>
      <w:r>
        <w:t xml:space="preserve">ampa</w:t>
      </w:r>
      <w:r>
        <w:t xml:space="preserve"> </w:t>
      </w:r>
      <w:r>
        <w:t xml:space="preserve">B</w:t>
      </w:r>
      <w:r>
        <w:t xml:space="preserve">ay estuary critical coastal habitats. Environmental Management 53, 401–415.</w:t>
      </w:r>
      <w:r>
        <w:t xml:space="preserve"> </w:t>
      </w:r>
      <w:hyperlink r:id="rId158">
        <w:r>
          <w:rPr>
            <w:rStyle w:val="Hyperlink"/>
          </w:rPr>
          <w:t xml:space="preserve">https://doi.org/10.1007/s00267-013-0179-5</w:t>
        </w:r>
      </w:hyperlink>
    </w:p>
    <w:bookmarkEnd w:id="159"/>
    <w:bookmarkStart w:id="161"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0">
        <w:r>
          <w:rPr>
            <w:rStyle w:val="Hyperlink"/>
          </w:rPr>
          <w:t xml:space="preserve">https://doi.org/10.1353/sgo.2017.0026</w:t>
        </w:r>
      </w:hyperlink>
    </w:p>
    <w:bookmarkEnd w:id="161"/>
    <w:bookmarkStart w:id="163"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2">
        <w:r>
          <w:rPr>
            <w:rStyle w:val="Hyperlink"/>
          </w:rPr>
          <w:t xml:space="preserve">https://doi.org/10.1016/j.hal.2021.102118</w:t>
        </w:r>
      </w:hyperlink>
    </w:p>
    <w:bookmarkEnd w:id="163"/>
    <w:bookmarkStart w:id="165"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4">
        <w:r>
          <w:rPr>
            <w:rStyle w:val="Hyperlink"/>
          </w:rPr>
          <w:t xml:space="preserve">https://doi.org/10.1016/j.jembe.2005.11.025</w:t>
        </w:r>
      </w:hyperlink>
    </w:p>
    <w:bookmarkEnd w:id="165"/>
    <w:bookmarkStart w:id="167"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6">
        <w:r>
          <w:rPr>
            <w:rStyle w:val="Hyperlink"/>
          </w:rPr>
          <w:t xml:space="preserve">https://doi.org/10.1080/00139307509435842</w:t>
        </w:r>
      </w:hyperlink>
    </w:p>
    <w:bookmarkEnd w:id="167"/>
    <w:bookmarkStart w:id="169"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8">
        <w:r>
          <w:rPr>
            <w:rStyle w:val="Hyperlink"/>
          </w:rPr>
          <w:t xml:space="preserve">https://doi.org/10.1080/00139307209435473</w:t>
        </w:r>
      </w:hyperlink>
    </w:p>
    <w:bookmarkEnd w:id="169"/>
    <w:bookmarkStart w:id="170"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0"/>
    <w:bookmarkStart w:id="172"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1">
        <w:r>
          <w:rPr>
            <w:rStyle w:val="Hyperlink"/>
          </w:rPr>
          <w:t xml:space="preserve">https://doi.org/10.1016/j.jenvman.2009.03.007</w:t>
        </w:r>
      </w:hyperlink>
    </w:p>
    <w:bookmarkEnd w:id="172"/>
    <w:bookmarkStart w:id="174"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73">
        <w:r>
          <w:rPr>
            <w:rStyle w:val="Hyperlink"/>
          </w:rPr>
          <w:t xml:space="preserve">https://doi.org/10.1016/j.marpolbul.2020.111247</w:t>
        </w:r>
      </w:hyperlink>
    </w:p>
    <w:bookmarkEnd w:id="174"/>
    <w:bookmarkStart w:id="176"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75">
        <w:r>
          <w:rPr>
            <w:rStyle w:val="Hyperlink"/>
          </w:rPr>
          <w:t xml:space="preserve">https://doi.org/10.1016/j.marpolbul.2018.08.049</w:t>
        </w:r>
      </w:hyperlink>
    </w:p>
    <w:bookmarkEnd w:id="176"/>
    <w:bookmarkStart w:id="178"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7">
        <w:r>
          <w:rPr>
            <w:rStyle w:val="Hyperlink"/>
          </w:rPr>
          <w:t xml:space="preserve">https://doi.org/10.4319/lo.1997.42.5_part_2.1105</w:t>
        </w:r>
      </w:hyperlink>
    </w:p>
    <w:bookmarkEnd w:id="178"/>
    <w:bookmarkStart w:id="179"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79"/>
    <w:bookmarkStart w:id="181"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0">
        <w:r>
          <w:rPr>
            <w:rStyle w:val="Hyperlink"/>
          </w:rPr>
          <w:t xml:space="preserve">https://doi.org/10.1029/2018JC014887</w:t>
        </w:r>
      </w:hyperlink>
    </w:p>
    <w:bookmarkEnd w:id="181"/>
    <w:bookmarkStart w:id="183"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2">
        <w:r>
          <w:rPr>
            <w:rStyle w:val="Hyperlink"/>
          </w:rPr>
          <w:t xml:space="preserve">https://doi.org/10.1016/j.hal.2014.04.010</w:t>
        </w:r>
      </w:hyperlink>
    </w:p>
    <w:bookmarkEnd w:id="183"/>
    <w:bookmarkStart w:id="185"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4">
        <w:r>
          <w:rPr>
            <w:rStyle w:val="Hyperlink"/>
          </w:rPr>
          <w:t xml:space="preserve">https://doi.org/10.21105/joss.01686</w:t>
        </w:r>
      </w:hyperlink>
    </w:p>
    <w:bookmarkEnd w:id="185"/>
    <w:bookmarkStart w:id="186" w:name="ref-Wood17"/>
    <w:p>
      <w:pPr>
        <w:pStyle w:val="Bibliography"/>
      </w:pPr>
      <w:r>
        <w:t xml:space="preserve">Wood, S.N., 2017. Generalized additive models: An introduction with r, 2nd ed. Chapman; Hall, CRC Press, London, United Kingdom.</w:t>
      </w:r>
    </w:p>
    <w:bookmarkEnd w:id="186"/>
    <w:bookmarkEnd w:id="187"/>
    <w:bookmarkEnd w:id="188"/>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3" Target="media/rId63.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6" Target="media/rId66.jpg" /><Relationship Type="http://schemas.openxmlformats.org/officeDocument/2006/relationships/image" Id="rId65" Target="media/rId65.jpg" /><Relationship Type="http://schemas.openxmlformats.org/officeDocument/2006/relationships/image" Id="rId72" Target="media/rId72.jpg" /><Relationship Type="http://schemas.openxmlformats.org/officeDocument/2006/relationships/image" Id="rId69" Target="media/rId69.jpg" /><Relationship Type="http://schemas.openxmlformats.org/officeDocument/2006/relationships/hyperlink" Id="rId134"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8" Target="https://doi.org/10.1007/s00267-013-0179-5" TargetMode="External" /><Relationship Type="http://schemas.openxmlformats.org/officeDocument/2006/relationships/hyperlink" Id="rId154"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3"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49" Target="https://doi.org/10.1016/j.apgeochem.2010.02.003" TargetMode="External" /><Relationship Type="http://schemas.openxmlformats.org/officeDocument/2006/relationships/hyperlink" Id="rId151" Target="https://doi.org/10.1016/j.atmosenv.2012.12.030" TargetMode="External" /><Relationship Type="http://schemas.openxmlformats.org/officeDocument/2006/relationships/hyperlink" Id="rId156"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40" Target="https://doi.org/10.1016/j.envsoft.2019.03.027" TargetMode="External" /><Relationship Type="http://schemas.openxmlformats.org/officeDocument/2006/relationships/hyperlink" Id="rId75" Target="https://doi.org/10.1016/j.hal.2006.08.004" TargetMode="External" /><Relationship Type="http://schemas.openxmlformats.org/officeDocument/2006/relationships/hyperlink" Id="rId182" Target="https://doi.org/10.1016/j.hal.2014.04.010" TargetMode="External" /><Relationship Type="http://schemas.openxmlformats.org/officeDocument/2006/relationships/hyperlink" Id="rId138" Target="https://doi.org/10.1016/j.hal.2020.101900" TargetMode="External" /><Relationship Type="http://schemas.openxmlformats.org/officeDocument/2006/relationships/hyperlink" Id="rId162" Target="https://doi.org/10.1016/j.hal.2021.102118" TargetMode="External" /><Relationship Type="http://schemas.openxmlformats.org/officeDocument/2006/relationships/hyperlink" Id="rId164" Target="https://doi.org/10.1016/j.jembe.2005.11.025" TargetMode="External" /><Relationship Type="http://schemas.openxmlformats.org/officeDocument/2006/relationships/hyperlink" Id="rId171" Target="https://doi.org/10.1016/j.jenvman.2009.03.007" TargetMode="External" /><Relationship Type="http://schemas.openxmlformats.org/officeDocument/2006/relationships/hyperlink" Id="rId77"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75" Target="https://doi.org/10.1016/j.marpolbul.2018.08.049" TargetMode="External" /><Relationship Type="http://schemas.openxmlformats.org/officeDocument/2006/relationships/hyperlink" Id="rId173" Target="https://doi.org/10.1016/j.marpolbul.2020.111247" TargetMode="External" /><Relationship Type="http://schemas.openxmlformats.org/officeDocument/2006/relationships/hyperlink" Id="rId136" Target="https://doi.org/10.1016/j.ocecoaman.2005.07.002" TargetMode="External" /><Relationship Type="http://schemas.openxmlformats.org/officeDocument/2006/relationships/hyperlink" Id="rId147" Target="https://doi.org/10.1016/j.scitotenv.2016.02.070" TargetMode="External" /><Relationship Type="http://schemas.openxmlformats.org/officeDocument/2006/relationships/hyperlink" Id="rId180"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68" Target="https://doi.org/10.1080/00139307209435473" TargetMode="External" /><Relationship Type="http://schemas.openxmlformats.org/officeDocument/2006/relationships/hyperlink" Id="rId166" Target="https://doi.org/10.1080/00139307509435842" TargetMode="External" /><Relationship Type="http://schemas.openxmlformats.org/officeDocument/2006/relationships/hyperlink" Id="rId142" Target="https://doi.org/10.1080/00785236.1995.10422044" TargetMode="External" /><Relationship Type="http://schemas.openxmlformats.org/officeDocument/2006/relationships/hyperlink" Id="rId160" Target="https://doi.org/10.1353/sgo.2017.0026" TargetMode="External" /><Relationship Type="http://schemas.openxmlformats.org/officeDocument/2006/relationships/hyperlink" Id="rId81"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84"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5"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79" Target="https://doi.org/10.4319/lo.1976.21.2.0212" TargetMode="External" /><Relationship Type="http://schemas.openxmlformats.org/officeDocument/2006/relationships/hyperlink" Id="rId177"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59" Target="https://myfwc.com/media/25649/2021preliminaryredtide.pdf" TargetMode="External" /><Relationship Type="http://schemas.openxmlformats.org/officeDocument/2006/relationships/hyperlink" Id="rId60" Target="https://myfwc.com/research/manatee/rescue-mortality-response/ume/" TargetMode="External" /><Relationship Type="http://schemas.openxmlformats.org/officeDocument/2006/relationships/hyperlink" Id="rId56" Target="https://prodenv.dep.state.fl.us/DepPNP/reports/viewIncidentDetails" TargetMode="External" /><Relationship Type="http://schemas.openxmlformats.org/officeDocument/2006/relationships/hyperlink" Id="rId71" Target="https://public.myfwc.com/FWRI/FishKillReport/" TargetMode="External" /><Relationship Type="http://schemas.openxmlformats.org/officeDocument/2006/relationships/hyperlink" Id="rId58" Target="https://tbep-tech.github.io/piney-point-analysis/benthic" TargetMode="External" /><Relationship Type="http://schemas.openxmlformats.org/officeDocument/2006/relationships/hyperlink" Id="rId57" Target="https://tbep-tech.github.io/piney-point-analysis/spills" TargetMode="External" /><Relationship Type="http://schemas.openxmlformats.org/officeDocument/2006/relationships/hyperlink" Id="rId47"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0"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34"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8" Target="https://doi.org/10.1007/s00267-013-0179-5" TargetMode="External" /><Relationship Type="http://schemas.openxmlformats.org/officeDocument/2006/relationships/hyperlink" Id="rId154"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3"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49" Target="https://doi.org/10.1016/j.apgeochem.2010.02.003" TargetMode="External" /><Relationship Type="http://schemas.openxmlformats.org/officeDocument/2006/relationships/hyperlink" Id="rId151" Target="https://doi.org/10.1016/j.atmosenv.2012.12.030" TargetMode="External" /><Relationship Type="http://schemas.openxmlformats.org/officeDocument/2006/relationships/hyperlink" Id="rId156"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40" Target="https://doi.org/10.1016/j.envsoft.2019.03.027" TargetMode="External" /><Relationship Type="http://schemas.openxmlformats.org/officeDocument/2006/relationships/hyperlink" Id="rId75" Target="https://doi.org/10.1016/j.hal.2006.08.004" TargetMode="External" /><Relationship Type="http://schemas.openxmlformats.org/officeDocument/2006/relationships/hyperlink" Id="rId182" Target="https://doi.org/10.1016/j.hal.2014.04.010" TargetMode="External" /><Relationship Type="http://schemas.openxmlformats.org/officeDocument/2006/relationships/hyperlink" Id="rId138" Target="https://doi.org/10.1016/j.hal.2020.101900" TargetMode="External" /><Relationship Type="http://schemas.openxmlformats.org/officeDocument/2006/relationships/hyperlink" Id="rId162" Target="https://doi.org/10.1016/j.hal.2021.102118" TargetMode="External" /><Relationship Type="http://schemas.openxmlformats.org/officeDocument/2006/relationships/hyperlink" Id="rId164" Target="https://doi.org/10.1016/j.jembe.2005.11.025" TargetMode="External" /><Relationship Type="http://schemas.openxmlformats.org/officeDocument/2006/relationships/hyperlink" Id="rId171" Target="https://doi.org/10.1016/j.jenvman.2009.03.007" TargetMode="External" /><Relationship Type="http://schemas.openxmlformats.org/officeDocument/2006/relationships/hyperlink" Id="rId77"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75" Target="https://doi.org/10.1016/j.marpolbul.2018.08.049" TargetMode="External" /><Relationship Type="http://schemas.openxmlformats.org/officeDocument/2006/relationships/hyperlink" Id="rId173" Target="https://doi.org/10.1016/j.marpolbul.2020.111247" TargetMode="External" /><Relationship Type="http://schemas.openxmlformats.org/officeDocument/2006/relationships/hyperlink" Id="rId136" Target="https://doi.org/10.1016/j.ocecoaman.2005.07.002" TargetMode="External" /><Relationship Type="http://schemas.openxmlformats.org/officeDocument/2006/relationships/hyperlink" Id="rId147" Target="https://doi.org/10.1016/j.scitotenv.2016.02.070" TargetMode="External" /><Relationship Type="http://schemas.openxmlformats.org/officeDocument/2006/relationships/hyperlink" Id="rId180"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68" Target="https://doi.org/10.1080/00139307209435473" TargetMode="External" /><Relationship Type="http://schemas.openxmlformats.org/officeDocument/2006/relationships/hyperlink" Id="rId166" Target="https://doi.org/10.1080/00139307509435842" TargetMode="External" /><Relationship Type="http://schemas.openxmlformats.org/officeDocument/2006/relationships/hyperlink" Id="rId142" Target="https://doi.org/10.1080/00785236.1995.10422044" TargetMode="External" /><Relationship Type="http://schemas.openxmlformats.org/officeDocument/2006/relationships/hyperlink" Id="rId160" Target="https://doi.org/10.1353/sgo.2017.0026" TargetMode="External" /><Relationship Type="http://schemas.openxmlformats.org/officeDocument/2006/relationships/hyperlink" Id="rId81"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84"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5"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79" Target="https://doi.org/10.4319/lo.1976.21.2.0212" TargetMode="External" /><Relationship Type="http://schemas.openxmlformats.org/officeDocument/2006/relationships/hyperlink" Id="rId177"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59" Target="https://myfwc.com/media/25649/2021preliminaryredtide.pdf" TargetMode="External" /><Relationship Type="http://schemas.openxmlformats.org/officeDocument/2006/relationships/hyperlink" Id="rId60" Target="https://myfwc.com/research/manatee/rescue-mortality-response/ume/" TargetMode="External" /><Relationship Type="http://schemas.openxmlformats.org/officeDocument/2006/relationships/hyperlink" Id="rId56" Target="https://prodenv.dep.state.fl.us/DepPNP/reports/viewIncidentDetails" TargetMode="External" /><Relationship Type="http://schemas.openxmlformats.org/officeDocument/2006/relationships/hyperlink" Id="rId71" Target="https://public.myfwc.com/FWRI/FishKillReport/" TargetMode="External" /><Relationship Type="http://schemas.openxmlformats.org/officeDocument/2006/relationships/hyperlink" Id="rId58" Target="https://tbep-tech.github.io/piney-point-analysis/benthic" TargetMode="External" /><Relationship Type="http://schemas.openxmlformats.org/officeDocument/2006/relationships/hyperlink" Id="rId57" Target="https://tbep-tech.github.io/piney-point-analysis/spills" TargetMode="External" /><Relationship Type="http://schemas.openxmlformats.org/officeDocument/2006/relationships/hyperlink" Id="rId47"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0"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Mark Rains (Mark.Rains@floridadep.gov),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2021-10-25T15:57:52Z</dcterms:created>
  <dcterms:modified xsi:type="dcterms:W3CDTF">2021-10-25T15:57:52Z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